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0090CD" w14:textId="1C00EE0C" w:rsidR="00334324" w:rsidRDefault="00334324" w:rsidP="00334324">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8</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4</w:t>
      </w:r>
      <w:r w:rsidR="00DF0E84">
        <w:rPr>
          <w:rFonts w:ascii="Arial" w:eastAsia="等线" w:hAnsi="Arial" w:cs="Arial" w:hint="eastAsia"/>
          <w:b/>
          <w:sz w:val="24"/>
          <w:szCs w:val="24"/>
        </w:rPr>
        <w:t>09835</w:t>
      </w:r>
    </w:p>
    <w:p w14:paraId="3CC007A0" w14:textId="77777777" w:rsidR="00334324" w:rsidRDefault="00334324" w:rsidP="00334324">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Orlando</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USA</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November</w:t>
      </w:r>
      <w:r>
        <w:rPr>
          <w:rFonts w:ascii="Arial" w:eastAsia="MS Mincho" w:hAnsi="Arial" w:cs="Arial"/>
          <w:b/>
          <w:sz w:val="24"/>
          <w:szCs w:val="24"/>
          <w:lang w:eastAsia="x-none"/>
        </w:rPr>
        <w:t xml:space="preserve"> </w:t>
      </w:r>
      <w:r>
        <w:rPr>
          <w:rFonts w:ascii="Arial" w:eastAsia="等线" w:hAnsi="Arial" w:cs="Arial" w:hint="eastAsia"/>
          <w:b/>
          <w:sz w:val="24"/>
          <w:szCs w:val="24"/>
        </w:rPr>
        <w:t>18</w:t>
      </w:r>
      <w:r w:rsidRPr="00DC2D5A">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22</w:t>
      </w:r>
      <w:r w:rsidRPr="00DC2D5A">
        <w:rPr>
          <w:rFonts w:ascii="Arial" w:eastAsia="MS Mincho" w:hAnsi="Arial" w:cs="Arial" w:hint="eastAsia"/>
          <w:b/>
          <w:sz w:val="24"/>
          <w:szCs w:val="24"/>
          <w:vertAlign w:val="superscript"/>
          <w:lang w:eastAsia="x-none"/>
        </w:rPr>
        <w:t>nd</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4</w:t>
      </w:r>
    </w:p>
    <w:p w14:paraId="1C7E31D8" w14:textId="77777777" w:rsidR="00413655" w:rsidRPr="00334324" w:rsidRDefault="00413655" w:rsidP="00413655">
      <w:pPr>
        <w:tabs>
          <w:tab w:val="left" w:pos="1985"/>
          <w:tab w:val="left" w:pos="8364"/>
        </w:tabs>
        <w:spacing w:afterLines="50" w:after="120"/>
        <w:rPr>
          <w:rFonts w:ascii="Arial" w:eastAsia="宋体" w:hAnsi="Arial" w:cs="Arial"/>
          <w:b/>
          <w:noProof/>
          <w:sz w:val="24"/>
          <w:szCs w:val="24"/>
        </w:rPr>
      </w:pPr>
    </w:p>
    <w:bookmarkEnd w:id="0"/>
    <w:bookmarkEnd w:id="1"/>
    <w:p w14:paraId="304AEC35" w14:textId="3FF1FF42" w:rsidR="00413655" w:rsidRPr="00B7591E" w:rsidRDefault="00413655" w:rsidP="00B7591E">
      <w:pPr>
        <w:tabs>
          <w:tab w:val="left" w:pos="1985"/>
        </w:tabs>
        <w:spacing w:afterLines="50" w:after="120"/>
        <w:rPr>
          <w:rFonts w:ascii="Times New Roman" w:eastAsia="宋体" w:hAnsi="Times New Roman" w:cs="Times New Roman"/>
          <w:b/>
          <w:sz w:val="22"/>
        </w:rPr>
      </w:pPr>
      <w:r w:rsidRPr="00B7591E">
        <w:rPr>
          <w:rFonts w:ascii="Times New Roman" w:hAnsi="Times New Roman" w:cs="Times New Roman"/>
          <w:b/>
          <w:sz w:val="22"/>
        </w:rPr>
        <w:t>Agen</w:t>
      </w:r>
      <w:r w:rsidRPr="00B7591E">
        <w:rPr>
          <w:rFonts w:ascii="Times New Roman" w:eastAsia="宋体" w:hAnsi="Times New Roman" w:cs="Times New Roman"/>
          <w:b/>
          <w:sz w:val="22"/>
        </w:rPr>
        <w:t>d</w:t>
      </w:r>
      <w:r w:rsidRPr="00B7591E">
        <w:rPr>
          <w:rFonts w:ascii="Times New Roman" w:hAnsi="Times New Roman" w:cs="Times New Roman"/>
          <w:b/>
          <w:sz w:val="22"/>
        </w:rPr>
        <w:t>a Item:</w:t>
      </w:r>
      <w:r w:rsidRPr="00B7591E">
        <w:rPr>
          <w:rFonts w:ascii="Times New Roman" w:hAnsi="Times New Roman" w:cs="Times New Roman"/>
          <w:sz w:val="22"/>
        </w:rPr>
        <w:tab/>
      </w:r>
      <w:r w:rsidRPr="00B7591E">
        <w:rPr>
          <w:rFonts w:ascii="Times New Roman" w:eastAsia="宋体" w:hAnsi="Times New Roman" w:cs="Times New Roman"/>
          <w:sz w:val="22"/>
        </w:rPr>
        <w:t>8.1.</w:t>
      </w:r>
      <w:r w:rsidR="00BD3258">
        <w:rPr>
          <w:rFonts w:ascii="Times New Roman" w:eastAsia="宋体" w:hAnsi="Times New Roman" w:cs="Times New Roman" w:hint="eastAsia"/>
          <w:sz w:val="22"/>
        </w:rPr>
        <w:t>2.</w:t>
      </w:r>
      <w:r w:rsidRPr="00B7591E">
        <w:rPr>
          <w:rFonts w:ascii="Times New Roman" w:eastAsia="宋体" w:hAnsi="Times New Roman" w:cs="Times New Roman"/>
          <w:sz w:val="22"/>
        </w:rPr>
        <w:t>3</w:t>
      </w:r>
    </w:p>
    <w:p w14:paraId="455484B2" w14:textId="77777777" w:rsidR="00413655" w:rsidRPr="00B7591E" w:rsidRDefault="00413655" w:rsidP="00B7591E">
      <w:pPr>
        <w:tabs>
          <w:tab w:val="left" w:pos="1985"/>
        </w:tabs>
        <w:spacing w:afterLines="50" w:after="120"/>
        <w:rPr>
          <w:rFonts w:ascii="Times New Roman" w:eastAsia="等线" w:hAnsi="Times New Roman" w:cs="Times New Roman"/>
          <w:b/>
          <w:sz w:val="22"/>
        </w:rPr>
      </w:pPr>
      <w:r w:rsidRPr="00B7591E">
        <w:rPr>
          <w:rFonts w:ascii="Times New Roman" w:hAnsi="Times New Roman" w:cs="Times New Roman"/>
          <w:b/>
          <w:sz w:val="22"/>
        </w:rPr>
        <w:t xml:space="preserve">Source: </w:t>
      </w:r>
      <w:r w:rsidRPr="00B7591E">
        <w:rPr>
          <w:rFonts w:ascii="Times New Roman" w:hAnsi="Times New Roman" w:cs="Times New Roman"/>
          <w:b/>
          <w:sz w:val="22"/>
        </w:rPr>
        <w:tab/>
      </w:r>
      <w:r w:rsidRPr="00B7591E">
        <w:rPr>
          <w:rFonts w:ascii="Times New Roman" w:eastAsia="等线" w:hAnsi="Times New Roman" w:cs="Times New Roman"/>
          <w:sz w:val="22"/>
        </w:rPr>
        <w:t>Fujitsu</w:t>
      </w:r>
    </w:p>
    <w:p w14:paraId="56737987" w14:textId="3FA3A45E" w:rsidR="00413655" w:rsidRPr="00B7591E" w:rsidRDefault="00413655" w:rsidP="00B7591E">
      <w:pPr>
        <w:spacing w:afterLines="50" w:after="120"/>
        <w:ind w:left="1985" w:hanging="1985"/>
        <w:rPr>
          <w:rFonts w:ascii="Times New Roman" w:eastAsia="宋体" w:hAnsi="Times New Roman" w:cs="Times New Roman"/>
          <w:sz w:val="22"/>
        </w:rPr>
      </w:pPr>
      <w:r w:rsidRPr="00B7591E">
        <w:rPr>
          <w:rFonts w:ascii="Times New Roman" w:hAnsi="Times New Roman" w:cs="Times New Roman"/>
          <w:b/>
          <w:sz w:val="22"/>
        </w:rPr>
        <w:t>Title:</w:t>
      </w:r>
      <w:r w:rsidRPr="00B7591E">
        <w:rPr>
          <w:rFonts w:ascii="Times New Roman" w:hAnsi="Times New Roman" w:cs="Times New Roman"/>
          <w:sz w:val="22"/>
        </w:rPr>
        <w:t xml:space="preserve"> </w:t>
      </w:r>
      <w:r w:rsidRPr="00B7591E">
        <w:rPr>
          <w:rFonts w:ascii="Times New Roman" w:hAnsi="Times New Roman" w:cs="Times New Roman"/>
          <w:sz w:val="22"/>
        </w:rPr>
        <w:tab/>
      </w:r>
      <w:bookmarkStart w:id="2" w:name="_Hlk177627536"/>
      <w:r w:rsidR="00D22009">
        <w:rPr>
          <w:rFonts w:ascii="Times New Roman" w:hAnsi="Times New Roman" w:cs="Times New Roman" w:hint="eastAsia"/>
          <w:sz w:val="22"/>
        </w:rPr>
        <w:t xml:space="preserve">Discussion on </w:t>
      </w:r>
      <w:r w:rsidRPr="00B7591E">
        <w:rPr>
          <w:rFonts w:ascii="Times New Roman" w:hAnsi="Times New Roman" w:cs="Times New Roman"/>
          <w:sz w:val="22"/>
        </w:rPr>
        <w:t>LCM for</w:t>
      </w:r>
      <w:r w:rsidRPr="00B7591E">
        <w:rPr>
          <w:rFonts w:ascii="Times New Roman" w:eastAsia="等线" w:hAnsi="Times New Roman" w:cs="Times New Roman"/>
          <w:sz w:val="22"/>
        </w:rPr>
        <w:t xml:space="preserve"> Positioning</w:t>
      </w:r>
      <w:r w:rsidRPr="00B7591E">
        <w:rPr>
          <w:rFonts w:ascii="Times New Roman" w:hAnsi="Times New Roman" w:cs="Times New Roman"/>
          <w:sz w:val="22"/>
        </w:rPr>
        <w:t xml:space="preserve"> </w:t>
      </w:r>
      <w:r w:rsidRPr="00B7591E">
        <w:rPr>
          <w:rFonts w:ascii="Times New Roman" w:eastAsia="等线" w:hAnsi="Times New Roman" w:cs="Times New Roman"/>
          <w:sz w:val="22"/>
        </w:rPr>
        <w:t>U</w:t>
      </w:r>
      <w:r w:rsidRPr="00B7591E">
        <w:rPr>
          <w:rFonts w:ascii="Times New Roman" w:hAnsi="Times New Roman" w:cs="Times New Roman"/>
          <w:sz w:val="22"/>
        </w:rPr>
        <w:t xml:space="preserve">se </w:t>
      </w:r>
      <w:r w:rsidRPr="00B7591E">
        <w:rPr>
          <w:rFonts w:ascii="Times New Roman" w:eastAsia="等线" w:hAnsi="Times New Roman" w:cs="Times New Roman"/>
          <w:sz w:val="22"/>
        </w:rPr>
        <w:t>C</w:t>
      </w:r>
      <w:r w:rsidRPr="00B7591E">
        <w:rPr>
          <w:rFonts w:ascii="Times New Roman" w:hAnsi="Times New Roman" w:cs="Times New Roman"/>
          <w:sz w:val="22"/>
        </w:rPr>
        <w:t>ase</w:t>
      </w:r>
      <w:bookmarkEnd w:id="2"/>
    </w:p>
    <w:p w14:paraId="270A1A38" w14:textId="77777777" w:rsidR="00413655" w:rsidRPr="00B7591E" w:rsidRDefault="00413655" w:rsidP="00B7591E">
      <w:pPr>
        <w:tabs>
          <w:tab w:val="left" w:pos="1985"/>
        </w:tabs>
        <w:spacing w:afterLines="50" w:after="120"/>
        <w:rPr>
          <w:rFonts w:ascii="Times New Roman" w:eastAsia="宋体" w:hAnsi="Times New Roman" w:cs="Times New Roman"/>
          <w:b/>
          <w:sz w:val="24"/>
          <w:szCs w:val="24"/>
        </w:rPr>
      </w:pPr>
      <w:r w:rsidRPr="00B7591E">
        <w:rPr>
          <w:rFonts w:ascii="Times New Roman" w:hAnsi="Times New Roman" w:cs="Times New Roman"/>
          <w:b/>
          <w:sz w:val="22"/>
        </w:rPr>
        <w:t>Document for:</w:t>
      </w:r>
      <w:r w:rsidRPr="00B7591E">
        <w:rPr>
          <w:rFonts w:ascii="Times New Roman" w:hAnsi="Times New Roman" w:cs="Times New Roman"/>
          <w:sz w:val="22"/>
        </w:rPr>
        <w:tab/>
      </w:r>
      <w:r w:rsidRPr="00B7591E">
        <w:rPr>
          <w:rFonts w:ascii="Times New Roman" w:eastAsia="宋体" w:hAnsi="Times New Roman" w:cs="Times New Roman"/>
          <w:sz w:val="22"/>
        </w:rPr>
        <w:t>Discussion</w:t>
      </w:r>
    </w:p>
    <w:p w14:paraId="499C9895" w14:textId="77777777" w:rsidR="006747AC" w:rsidRPr="00E631E5" w:rsidRDefault="00BB7889" w:rsidP="00F27913">
      <w:pPr>
        <w:pStyle w:val="1"/>
        <w:numPr>
          <w:ilvl w:val="0"/>
          <w:numId w:val="51"/>
        </w:numPr>
        <w:spacing w:before="0" w:after="0" w:line="360" w:lineRule="auto"/>
        <w:jc w:val="both"/>
        <w:rPr>
          <w:rFonts w:eastAsia="宋体"/>
          <w:lang w:eastAsia="zh-CN"/>
        </w:rPr>
      </w:pPr>
      <w:r w:rsidRPr="00784957">
        <w:t>Introduction</w:t>
      </w:r>
      <w:bookmarkStart w:id="3" w:name="OLE_LINK641"/>
      <w:bookmarkStart w:id="4" w:name="OLE_LINK642"/>
      <w:bookmarkStart w:id="5" w:name="OLE_LINK643"/>
    </w:p>
    <w:p w14:paraId="1796557D" w14:textId="77777777" w:rsidR="00660ADB" w:rsidRPr="00B7591E" w:rsidRDefault="002435C3"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this contribution, we would like to </w:t>
      </w:r>
      <w:bookmarkEnd w:id="3"/>
      <w:bookmarkEnd w:id="4"/>
      <w:bookmarkEnd w:id="5"/>
      <w:r w:rsidR="00E631E5" w:rsidRPr="00B7591E">
        <w:rPr>
          <w:rFonts w:ascii="Times New Roman" w:eastAsia="宋体" w:hAnsi="Times New Roman" w:cs="Times New Roman"/>
          <w:sz w:val="22"/>
        </w:rPr>
        <w:t xml:space="preserve">give our views on the LCM </w:t>
      </w:r>
      <w:r w:rsidR="00F27913" w:rsidRPr="00B7591E">
        <w:rPr>
          <w:rFonts w:ascii="Times New Roman" w:eastAsia="宋体" w:hAnsi="Times New Roman" w:cs="Times New Roman"/>
          <w:sz w:val="22"/>
        </w:rPr>
        <w:t>for positioning use cases</w:t>
      </w:r>
      <w:r w:rsidR="00D53822" w:rsidRPr="00B7591E">
        <w:rPr>
          <w:rFonts w:ascii="Times New Roman" w:eastAsia="宋体" w:hAnsi="Times New Roman" w:cs="Times New Roman"/>
          <w:sz w:val="22"/>
        </w:rPr>
        <w:t>.</w:t>
      </w:r>
      <w:r w:rsidR="00F27913"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As </w:t>
      </w:r>
      <w:r w:rsidR="00F27913" w:rsidRPr="00B7591E">
        <w:rPr>
          <w:rFonts w:ascii="Times New Roman" w:eastAsia="宋体" w:hAnsi="Times New Roman" w:cs="Times New Roman"/>
          <w:sz w:val="22"/>
        </w:rPr>
        <w:t>agreed in RANP meeting, both prioritized NW-side and UE-side use cases will be discussed, including the following:</w:t>
      </w:r>
    </w:p>
    <w:p w14:paraId="7D5A4937"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NW-side models:</w:t>
      </w:r>
    </w:p>
    <w:p w14:paraId="0BB7B4A6"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gNB-side model (Case 3a)</w:t>
      </w:r>
    </w:p>
    <w:p w14:paraId="219A0CEA"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LMF-side model (Case 3b)</w:t>
      </w:r>
    </w:p>
    <w:p w14:paraId="2DEE20DC"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w:t>
      </w:r>
    </w:p>
    <w:p w14:paraId="236F6613"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 (Case 1)</w:t>
      </w:r>
    </w:p>
    <w:p w14:paraId="03ABABB1" w14:textId="77777777" w:rsidR="00CD16A6" w:rsidRDefault="00764ECF" w:rsidP="00F27913">
      <w:pPr>
        <w:pStyle w:val="1"/>
        <w:numPr>
          <w:ilvl w:val="0"/>
          <w:numId w:val="51"/>
        </w:numPr>
        <w:spacing w:before="0" w:after="0" w:line="360" w:lineRule="auto"/>
        <w:jc w:val="both"/>
        <w:rPr>
          <w:rFonts w:eastAsia="宋体"/>
          <w:lang w:eastAsia="zh-CN"/>
        </w:rPr>
      </w:pPr>
      <w:r w:rsidRPr="00976C11">
        <w:rPr>
          <w:rFonts w:eastAsia="宋体"/>
          <w:lang w:eastAsia="zh-CN"/>
        </w:rPr>
        <w:t>Discussion</w:t>
      </w:r>
      <w:bookmarkStart w:id="6" w:name="OLE_LINK626"/>
      <w:bookmarkStart w:id="7" w:name="OLE_LINK627"/>
      <w:bookmarkStart w:id="8" w:name="OLE_LINK301"/>
      <w:bookmarkStart w:id="9" w:name="OLE_LINK302"/>
    </w:p>
    <w:p w14:paraId="6BE64F09" w14:textId="77777777" w:rsidR="00246333" w:rsidRPr="00246333" w:rsidRDefault="00246333" w:rsidP="00246333">
      <w:pPr>
        <w:pStyle w:val="2"/>
        <w:numPr>
          <w:ilvl w:val="1"/>
          <w:numId w:val="51"/>
        </w:numPr>
        <w:spacing w:after="240"/>
      </w:pPr>
      <w:r>
        <w:rPr>
          <w:rFonts w:hint="eastAsia"/>
        </w:rPr>
        <w:t>NW-side model</w:t>
      </w:r>
      <w:r w:rsidR="00B25EB7">
        <w:rPr>
          <w:rFonts w:hint="eastAsia"/>
        </w:rPr>
        <w:t xml:space="preserve"> (Case 3a/3b)</w:t>
      </w:r>
    </w:p>
    <w:p w14:paraId="7D72ECC6" w14:textId="36BC4934" w:rsidR="00CD16A6" w:rsidRPr="00B7591E" w:rsidRDefault="00CD16A6" w:rsidP="00B7591E">
      <w:pPr>
        <w:spacing w:afterLines="50" w:after="120"/>
        <w:rPr>
          <w:rFonts w:ascii="Times New Roman" w:eastAsia="等线" w:hAnsi="Times New Roman" w:cs="Times New Roman"/>
          <w:sz w:val="22"/>
        </w:rPr>
      </w:pPr>
      <w:r w:rsidRPr="00B7591E">
        <w:rPr>
          <w:rFonts w:ascii="Times New Roman" w:eastAsia="等线" w:hAnsi="Times New Roman" w:cs="Times New Roman"/>
          <w:sz w:val="22"/>
        </w:rPr>
        <w:t>In RAN</w:t>
      </w:r>
      <w:r w:rsidR="00D53822" w:rsidRPr="00B7591E">
        <w:rPr>
          <w:rFonts w:ascii="Times New Roman" w:eastAsia="等线" w:hAnsi="Times New Roman" w:cs="Times New Roman"/>
          <w:sz w:val="22"/>
        </w:rPr>
        <w:t>2</w:t>
      </w:r>
      <w:r w:rsidR="00246333" w:rsidRPr="00B7591E">
        <w:rPr>
          <w:rFonts w:ascii="Times New Roman" w:eastAsia="等线" w:hAnsi="Times New Roman" w:cs="Times New Roman"/>
          <w:sz w:val="22"/>
        </w:rPr>
        <w:t xml:space="preserve"> #125bis meeting</w:t>
      </w:r>
      <w:r w:rsidR="001F5734" w:rsidRPr="00B7591E">
        <w:rPr>
          <w:rFonts w:ascii="Times New Roman" w:eastAsia="等线" w:hAnsi="Times New Roman" w:cs="Times New Roman"/>
          <w:sz w:val="22"/>
        </w:rPr>
        <w:t xml:space="preserve"> [</w:t>
      </w:r>
      <w:r w:rsidR="006A3CE5">
        <w:rPr>
          <w:rFonts w:ascii="Times New Roman" w:eastAsia="等线" w:hAnsi="Times New Roman" w:cs="Times New Roman" w:hint="eastAsia"/>
          <w:sz w:val="22"/>
        </w:rPr>
        <w:t>2</w:t>
      </w:r>
      <w:r w:rsidR="001F5734" w:rsidRPr="00B7591E">
        <w:rPr>
          <w:rFonts w:ascii="Times New Roman" w:eastAsia="等线" w:hAnsi="Times New Roman" w:cs="Times New Roman"/>
          <w:sz w:val="22"/>
        </w:rPr>
        <w:t>]</w:t>
      </w:r>
      <w:r w:rsidR="00246333" w:rsidRPr="00B7591E">
        <w:rPr>
          <w:rFonts w:ascii="Times New Roman" w:eastAsia="等线" w:hAnsi="Times New Roman" w:cs="Times New Roman"/>
          <w:sz w:val="22"/>
        </w:rPr>
        <w:t>, the following agreements were given for positioning NW-side model LCM</w:t>
      </w:r>
      <w:r w:rsidRPr="00B7591E">
        <w:rPr>
          <w:rFonts w:ascii="Times New Roman" w:eastAsia="等线"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F634A2" w:rsidRPr="00B7591E" w14:paraId="7465E618" w14:textId="77777777">
        <w:tc>
          <w:tcPr>
            <w:tcW w:w="9963" w:type="dxa"/>
            <w:shd w:val="clear" w:color="auto" w:fill="auto"/>
          </w:tcPr>
          <w:p w14:paraId="3A4CB534" w14:textId="76A05B2B" w:rsidR="00246333" w:rsidRPr="00B7591E" w:rsidRDefault="00246333" w:rsidP="00B7591E">
            <w:pPr>
              <w:spacing w:afterLines="50" w:after="120"/>
              <w:rPr>
                <w:rFonts w:ascii="Times New Roman" w:eastAsia="等线" w:hAnsi="Times New Roman" w:cs="Times New Roman"/>
                <w:b/>
                <w:sz w:val="22"/>
              </w:rPr>
            </w:pPr>
            <w:r w:rsidRPr="00B7591E">
              <w:rPr>
                <w:rFonts w:ascii="Times New Roman" w:eastAsia="等线" w:hAnsi="Times New Roman" w:cs="Times New Roman"/>
                <w:b/>
                <w:sz w:val="22"/>
              </w:rPr>
              <w:t>Agreements:</w:t>
            </w:r>
          </w:p>
          <w:p w14:paraId="7368B949" w14:textId="6ABDD15D" w:rsidR="00246333" w:rsidRPr="00B7591E" w:rsidRDefault="00246333" w:rsidP="00B7591E">
            <w:pPr>
              <w:spacing w:afterLines="50" w:after="120"/>
              <w:rPr>
                <w:rFonts w:ascii="Times New Roman" w:eastAsia="等线" w:hAnsi="Times New Roman" w:cs="Times New Roman"/>
                <w:bCs/>
                <w:sz w:val="22"/>
              </w:rPr>
            </w:pPr>
            <w:r w:rsidRPr="00B7591E">
              <w:rPr>
                <w:rFonts w:ascii="Times New Roman" w:hAnsi="Times New Roman" w:cs="Times New Roman"/>
                <w:bCs/>
                <w:sz w:val="22"/>
              </w:rPr>
              <w:t xml:space="preserve">For POS, RAN2 assumes gNB or LMF could perform performance monitoring for case 3a and LMF is responsible for the performance monitoring for case 3b and </w:t>
            </w:r>
            <w:r w:rsidR="00B674C4" w:rsidRPr="00B7591E">
              <w:rPr>
                <w:rFonts w:ascii="Times New Roman" w:hAnsi="Times New Roman" w:cs="Times New Roman"/>
                <w:bCs/>
                <w:sz w:val="22"/>
              </w:rPr>
              <w:t>waits</w:t>
            </w:r>
            <w:r w:rsidRPr="00B7591E">
              <w:rPr>
                <w:rFonts w:ascii="Times New Roman" w:hAnsi="Times New Roman" w:cs="Times New Roman"/>
                <w:bCs/>
                <w:sz w:val="22"/>
              </w:rPr>
              <w:t xml:space="preserve"> for any further inputs from other WGs</w:t>
            </w:r>
            <w:r w:rsidRPr="00B7591E">
              <w:rPr>
                <w:rFonts w:ascii="Times New Roman" w:eastAsia="等线" w:hAnsi="Times New Roman" w:cs="Times New Roman"/>
                <w:bCs/>
                <w:sz w:val="22"/>
              </w:rPr>
              <w:t>.</w:t>
            </w:r>
          </w:p>
          <w:p w14:paraId="13991FCE" w14:textId="03858113" w:rsidR="00F634A2" w:rsidRPr="00B7591E" w:rsidRDefault="00246333" w:rsidP="00B7591E">
            <w:pPr>
              <w:spacing w:afterLines="50" w:after="120"/>
              <w:rPr>
                <w:rFonts w:ascii="Times New Roman" w:eastAsia="等线" w:hAnsi="Times New Roman" w:cs="Times New Roman"/>
                <w:bCs/>
                <w:sz w:val="22"/>
              </w:rPr>
            </w:pPr>
            <w:r w:rsidRPr="00B7591E">
              <w:rPr>
                <w:rFonts w:ascii="Times New Roman" w:hAnsi="Times New Roman" w:cs="Times New Roman"/>
                <w:bCs/>
                <w:sz w:val="22"/>
              </w:rPr>
              <w:t xml:space="preserve">For POS, RAN2 assumes that NRPPa is used for the </w:t>
            </w:r>
            <w:r w:rsidR="00B7591E" w:rsidRPr="00B7591E">
              <w:rPr>
                <w:rFonts w:ascii="Times New Roman" w:hAnsi="Times New Roman" w:cs="Times New Roman"/>
                <w:bCs/>
                <w:sz w:val="22"/>
              </w:rPr>
              <w:t>signaling</w:t>
            </w:r>
            <w:r w:rsidRPr="00B7591E">
              <w:rPr>
                <w:rFonts w:ascii="Times New Roman" w:hAnsi="Times New Roman" w:cs="Times New Roman"/>
                <w:bCs/>
                <w:sz w:val="22"/>
              </w:rPr>
              <w:t xml:space="preserve"> between gNB and LMF for case 3a and 3b and the detailed </w:t>
            </w:r>
            <w:r w:rsidR="00B7591E" w:rsidRPr="00B7591E">
              <w:rPr>
                <w:rFonts w:ascii="Times New Roman" w:hAnsi="Times New Roman" w:cs="Times New Roman"/>
                <w:bCs/>
                <w:sz w:val="22"/>
              </w:rPr>
              <w:t>signaling</w:t>
            </w:r>
            <w:r w:rsidRPr="00B7591E">
              <w:rPr>
                <w:rFonts w:ascii="Times New Roman" w:hAnsi="Times New Roman" w:cs="Times New Roman"/>
                <w:bCs/>
                <w:sz w:val="22"/>
              </w:rPr>
              <w:t xml:space="preserve"> design is up to RAN3.</w:t>
            </w:r>
          </w:p>
        </w:tc>
      </w:tr>
    </w:tbl>
    <w:bookmarkEnd w:id="6"/>
    <w:bookmarkEnd w:id="7"/>
    <w:bookmarkEnd w:id="8"/>
    <w:bookmarkEnd w:id="9"/>
    <w:p w14:paraId="043912C5" w14:textId="2ACFF64A" w:rsidR="00DF7460" w:rsidRPr="00B7591E" w:rsidRDefault="00DF7460"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According to the</w:t>
      </w:r>
      <w:r w:rsidR="00FF3AEA" w:rsidRPr="00B7591E">
        <w:rPr>
          <w:rFonts w:ascii="Times New Roman" w:eastAsia="宋体" w:hAnsi="Times New Roman" w:cs="Times New Roman"/>
          <w:sz w:val="22"/>
        </w:rPr>
        <w:t xml:space="preserve"> above</w:t>
      </w:r>
      <w:r w:rsidRPr="00B7591E">
        <w:rPr>
          <w:rFonts w:ascii="Times New Roman" w:eastAsia="宋体" w:hAnsi="Times New Roman" w:cs="Times New Roman"/>
          <w:sz w:val="22"/>
        </w:rPr>
        <w:t xml:space="preserve"> agreement</w:t>
      </w:r>
      <w:r w:rsidR="00FF3AEA"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 </w:t>
      </w:r>
      <w:r w:rsidR="003060F6" w:rsidRPr="00B7591E">
        <w:rPr>
          <w:rFonts w:ascii="Times New Roman" w:eastAsia="宋体" w:hAnsi="Times New Roman" w:cs="Times New Roman"/>
          <w:sz w:val="22"/>
        </w:rPr>
        <w:t>for the</w:t>
      </w:r>
      <w:r w:rsidRPr="00B7591E">
        <w:rPr>
          <w:rFonts w:ascii="Times New Roman" w:eastAsia="宋体" w:hAnsi="Times New Roman" w:cs="Times New Roman"/>
          <w:sz w:val="22"/>
        </w:rPr>
        <w:t xml:space="preserve"> performance monitoring for case 3a, </w:t>
      </w:r>
      <w:r w:rsidR="003060F6" w:rsidRPr="00B7591E">
        <w:rPr>
          <w:rFonts w:ascii="Times New Roman" w:eastAsia="宋体" w:hAnsi="Times New Roman" w:cs="Times New Roman"/>
          <w:sz w:val="22"/>
        </w:rPr>
        <w:t xml:space="preserve">either gNB or LMF can derive monitoring metrics or </w:t>
      </w:r>
      <w:r w:rsidR="009D7E3A" w:rsidRPr="00B7591E">
        <w:rPr>
          <w:rFonts w:ascii="Times New Roman" w:eastAsia="宋体" w:hAnsi="Times New Roman" w:cs="Times New Roman"/>
          <w:sz w:val="22"/>
        </w:rPr>
        <w:t>make preliminary</w:t>
      </w:r>
      <w:r w:rsidR="003060F6" w:rsidRPr="00B7591E">
        <w:rPr>
          <w:rFonts w:ascii="Times New Roman" w:eastAsia="宋体" w:hAnsi="Times New Roman" w:cs="Times New Roman"/>
          <w:sz w:val="22"/>
        </w:rPr>
        <w:t xml:space="preserve"> decisions</w:t>
      </w:r>
      <w:r w:rsidRPr="00B7591E">
        <w:rPr>
          <w:rFonts w:ascii="Times New Roman" w:eastAsia="宋体" w:hAnsi="Times New Roman" w:cs="Times New Roman"/>
          <w:sz w:val="22"/>
        </w:rPr>
        <w:t>. gNB and LMF are both NW entities, but LMF is superior to gNB during LCM procedure, so the following options are available for Case 3a monitoring decision making.</w:t>
      </w:r>
    </w:p>
    <w:p w14:paraId="1C91C059" w14:textId="77777777" w:rsidR="00DF7460" w:rsidRPr="00B7591E" w:rsidRDefault="00DF7460" w:rsidP="00B7591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both the preliminary and final monitoring decision</w:t>
      </w:r>
      <w:r w:rsidR="00FF3AEA"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 and reports to LMF.</w:t>
      </w:r>
    </w:p>
    <w:p w14:paraId="1E8CD353" w14:textId="77777777" w:rsidR="00DF7460" w:rsidRPr="00B7591E" w:rsidRDefault="00DF7460" w:rsidP="00B7591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the preliminary monitoring decision while LMF make</w:t>
      </w:r>
      <w:r w:rsidR="0058056F" w:rsidRPr="00B7591E">
        <w:rPr>
          <w:rFonts w:ascii="Times New Roman" w:eastAsia="宋体" w:hAnsi="Times New Roman" w:cs="Times New Roman"/>
          <w:sz w:val="22"/>
        </w:rPr>
        <w:t>s</w:t>
      </w:r>
      <w:r w:rsidRPr="00B7591E">
        <w:rPr>
          <w:rFonts w:ascii="Times New Roman" w:eastAsia="宋体" w:hAnsi="Times New Roman" w:cs="Times New Roman"/>
          <w:sz w:val="22"/>
        </w:rPr>
        <w:t xml:space="preserve"> the final </w:t>
      </w:r>
      <w:r w:rsidR="0058056F" w:rsidRPr="00B7591E">
        <w:rPr>
          <w:rFonts w:ascii="Times New Roman" w:eastAsia="宋体" w:hAnsi="Times New Roman" w:cs="Times New Roman"/>
          <w:sz w:val="22"/>
        </w:rPr>
        <w:t xml:space="preserve">monitoring </w:t>
      </w:r>
      <w:r w:rsidRPr="00B7591E">
        <w:rPr>
          <w:rFonts w:ascii="Times New Roman" w:eastAsia="宋体" w:hAnsi="Times New Roman" w:cs="Times New Roman"/>
          <w:sz w:val="22"/>
        </w:rPr>
        <w:t>decision/confirmation.</w:t>
      </w:r>
    </w:p>
    <w:p w14:paraId="1B93EB73" w14:textId="77777777" w:rsidR="00DF7460" w:rsidRPr="00B7591E" w:rsidRDefault="00DF7460" w:rsidP="00B7591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 makes the preliminary and final monitoring decisions.</w:t>
      </w:r>
    </w:p>
    <w:p w14:paraId="14BC5B85" w14:textId="695A9026" w:rsidR="00FF3AEA" w:rsidRPr="00B7591E" w:rsidRDefault="00984294"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Further</w:t>
      </w:r>
      <w:r w:rsidR="00FF3AEA" w:rsidRPr="00B7591E">
        <w:rPr>
          <w:rFonts w:ascii="Times New Roman" w:eastAsia="宋体" w:hAnsi="Times New Roman" w:cs="Times New Roman"/>
          <w:sz w:val="22"/>
        </w:rPr>
        <w:t xml:space="preserve"> study </w:t>
      </w:r>
      <w:r w:rsidRPr="00B7591E">
        <w:rPr>
          <w:rFonts w:ascii="Times New Roman" w:eastAsia="宋体" w:hAnsi="Times New Roman" w:cs="Times New Roman"/>
          <w:sz w:val="22"/>
        </w:rPr>
        <w:t>of</w:t>
      </w:r>
      <w:r w:rsidR="00FF3AEA" w:rsidRPr="00B7591E">
        <w:rPr>
          <w:rFonts w:ascii="Times New Roman" w:eastAsia="宋体" w:hAnsi="Times New Roman" w:cs="Times New Roman"/>
          <w:sz w:val="22"/>
        </w:rPr>
        <w:t xml:space="preserve"> the details of the above three options depends on further RAN1 progress. </w:t>
      </w:r>
    </w:p>
    <w:p w14:paraId="190FAE66" w14:textId="4631203A" w:rsidR="00FF3AEA" w:rsidRPr="00B7591E" w:rsidRDefault="0058056F"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case 3b</w:t>
      </w:r>
      <w:r w:rsidR="00FF3AEA" w:rsidRPr="00B7591E">
        <w:rPr>
          <w:rFonts w:ascii="Times New Roman" w:eastAsia="宋体" w:hAnsi="Times New Roman" w:cs="Times New Roman"/>
          <w:sz w:val="22"/>
        </w:rPr>
        <w:t xml:space="preserve">, LMF can </w:t>
      </w:r>
      <w:r w:rsidRPr="00B7591E">
        <w:rPr>
          <w:rFonts w:ascii="Times New Roman" w:eastAsia="宋体" w:hAnsi="Times New Roman" w:cs="Times New Roman"/>
          <w:sz w:val="22"/>
        </w:rPr>
        <w:t>derive the performance monitoring metrics</w:t>
      </w:r>
      <w:r w:rsidR="00FF3AEA" w:rsidRPr="00B7591E">
        <w:rPr>
          <w:rFonts w:ascii="Times New Roman" w:eastAsia="宋体" w:hAnsi="Times New Roman" w:cs="Times New Roman"/>
          <w:sz w:val="22"/>
        </w:rPr>
        <w:t xml:space="preserve"> and </w:t>
      </w:r>
      <w:r w:rsidR="00987264" w:rsidRPr="00B7591E">
        <w:rPr>
          <w:rFonts w:ascii="Times New Roman" w:eastAsia="宋体" w:hAnsi="Times New Roman" w:cs="Times New Roman"/>
          <w:sz w:val="22"/>
        </w:rPr>
        <w:t>make</w:t>
      </w:r>
      <w:r w:rsidR="00FF3AEA" w:rsidRPr="00B7591E">
        <w:rPr>
          <w:rFonts w:ascii="Times New Roman" w:eastAsia="宋体" w:hAnsi="Times New Roman" w:cs="Times New Roman"/>
          <w:sz w:val="22"/>
        </w:rPr>
        <w:t xml:space="preserve"> the monitoring decisions. </w:t>
      </w:r>
      <w:r w:rsidR="00CC0AB7" w:rsidRPr="00B7591E">
        <w:rPr>
          <w:rFonts w:ascii="Times New Roman" w:eastAsia="宋体" w:hAnsi="Times New Roman" w:cs="Times New Roman"/>
          <w:sz w:val="22"/>
        </w:rPr>
        <w:t>Some assistance information from gNB/PRU/UE may be necessary for case 3b metrics calculation</w:t>
      </w:r>
      <w:r w:rsidR="00D53822"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The </w:t>
      </w:r>
      <w:r w:rsidR="00CC0AB7" w:rsidRPr="00B7591E">
        <w:rPr>
          <w:rFonts w:ascii="Times New Roman" w:eastAsia="宋体" w:hAnsi="Times New Roman" w:cs="Times New Roman"/>
          <w:sz w:val="22"/>
        </w:rPr>
        <w:t>details depend on RAN1</w:t>
      </w:r>
      <w:r w:rsidR="00D53822" w:rsidRPr="00B7591E">
        <w:rPr>
          <w:rFonts w:ascii="Times New Roman" w:eastAsia="宋体" w:hAnsi="Times New Roman" w:cs="Times New Roman"/>
          <w:sz w:val="22"/>
        </w:rPr>
        <w:t xml:space="preserve"> progress</w:t>
      </w:r>
      <w:r w:rsidR="00CC0AB7" w:rsidRPr="00B7591E">
        <w:rPr>
          <w:rFonts w:ascii="Times New Roman" w:eastAsia="宋体" w:hAnsi="Times New Roman" w:cs="Times New Roman"/>
          <w:sz w:val="22"/>
        </w:rPr>
        <w:t>.</w:t>
      </w:r>
    </w:p>
    <w:p w14:paraId="09A2318F" w14:textId="5413C354" w:rsidR="00FF3AEA" w:rsidRPr="00B7591E" w:rsidRDefault="00FF3AEA"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Potential NRPPa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design for decision making, monitoring assistance information between gNB and LMF need to involve RAN3.</w:t>
      </w:r>
    </w:p>
    <w:p w14:paraId="2E53FEC3" w14:textId="77777777" w:rsidR="00FF3AEA" w:rsidRPr="00B7591E" w:rsidRDefault="00FF3AEA"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1 Both gNB and LMF can make monitoring decision for case 3a</w:t>
      </w:r>
      <w:r w:rsidR="00D53822" w:rsidRPr="00B7591E">
        <w:rPr>
          <w:rFonts w:ascii="Times New Roman" w:eastAsia="宋体" w:hAnsi="Times New Roman" w:cs="Times New Roman"/>
          <w:b/>
          <w:bCs/>
          <w:sz w:val="22"/>
        </w:rPr>
        <w:t>.</w:t>
      </w:r>
      <w:r w:rsidRPr="00B7591E">
        <w:rPr>
          <w:rFonts w:ascii="Times New Roman" w:eastAsia="宋体" w:hAnsi="Times New Roman" w:cs="Times New Roman"/>
          <w:b/>
          <w:bCs/>
          <w:sz w:val="22"/>
        </w:rPr>
        <w:t xml:space="preserve"> </w:t>
      </w:r>
      <w:r w:rsidR="00D53822" w:rsidRPr="00B7591E">
        <w:rPr>
          <w:rFonts w:ascii="Times New Roman" w:eastAsia="宋体" w:hAnsi="Times New Roman" w:cs="Times New Roman"/>
          <w:b/>
          <w:bCs/>
          <w:sz w:val="22"/>
        </w:rPr>
        <w:t>T</w:t>
      </w:r>
      <w:r w:rsidRPr="00B7591E">
        <w:rPr>
          <w:rFonts w:ascii="Times New Roman" w:eastAsia="宋体" w:hAnsi="Times New Roman" w:cs="Times New Roman"/>
          <w:b/>
          <w:bCs/>
          <w:sz w:val="22"/>
        </w:rPr>
        <w:t>he details depend on further RAN1 progress.</w:t>
      </w:r>
    </w:p>
    <w:p w14:paraId="67614113" w14:textId="77777777" w:rsidR="00CC0AB7" w:rsidRPr="00B7591E" w:rsidRDefault="00FF3AEA"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lastRenderedPageBreak/>
        <w:t xml:space="preserve">Proposal 2 </w:t>
      </w:r>
      <w:r w:rsidR="00CC0AB7" w:rsidRPr="00B7591E">
        <w:rPr>
          <w:rFonts w:ascii="Times New Roman" w:eastAsia="宋体" w:hAnsi="Times New Roman" w:cs="Times New Roman"/>
          <w:b/>
          <w:bCs/>
          <w:sz w:val="22"/>
        </w:rPr>
        <w:t>LMF can make monitoring decision for case 3b</w:t>
      </w:r>
      <w:r w:rsidR="00D53822" w:rsidRPr="00B7591E">
        <w:rPr>
          <w:rFonts w:ascii="Times New Roman" w:eastAsia="宋体" w:hAnsi="Times New Roman" w:cs="Times New Roman"/>
          <w:b/>
          <w:bCs/>
          <w:sz w:val="22"/>
        </w:rPr>
        <w:t>.</w:t>
      </w:r>
      <w:r w:rsidR="00CC0AB7" w:rsidRPr="00B7591E">
        <w:rPr>
          <w:rFonts w:ascii="Times New Roman" w:eastAsia="宋体" w:hAnsi="Times New Roman" w:cs="Times New Roman"/>
          <w:b/>
          <w:bCs/>
          <w:sz w:val="22"/>
        </w:rPr>
        <w:t xml:space="preserve"> RAN2 wait for further RAN1 progress on potential assistance information/data for metrics deriving and decision making of case 3b.</w:t>
      </w:r>
    </w:p>
    <w:p w14:paraId="190A65A0" w14:textId="77777777" w:rsidR="003B0B82" w:rsidRPr="00B7591E" w:rsidRDefault="00CC0AB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For </w:t>
      </w:r>
      <w:r w:rsidR="003B0B82" w:rsidRPr="00B7591E">
        <w:rPr>
          <w:rFonts w:ascii="Times New Roman" w:eastAsia="宋体" w:hAnsi="Times New Roman" w:cs="Times New Roman"/>
          <w:sz w:val="22"/>
        </w:rPr>
        <w:t xml:space="preserve">NW-side models, applicable conditions are not </w:t>
      </w:r>
      <w:r w:rsidR="00360E78" w:rsidRPr="00B7591E">
        <w:rPr>
          <w:rFonts w:ascii="Times New Roman" w:eastAsia="宋体" w:hAnsi="Times New Roman" w:cs="Times New Roman"/>
          <w:sz w:val="22"/>
        </w:rPr>
        <w:t>necessary since</w:t>
      </w:r>
      <w:r w:rsidR="003B0B82" w:rsidRPr="00B7591E">
        <w:rPr>
          <w:rFonts w:ascii="Times New Roman" w:eastAsia="宋体" w:hAnsi="Times New Roman" w:cs="Times New Roman"/>
          <w:sz w:val="22"/>
        </w:rPr>
        <w:t xml:space="preserve"> the NW</w:t>
      </w:r>
      <w:r w:rsidR="0058056F" w:rsidRPr="00B7591E">
        <w:rPr>
          <w:rFonts w:ascii="Times New Roman" w:eastAsia="宋体" w:hAnsi="Times New Roman" w:cs="Times New Roman"/>
          <w:sz w:val="22"/>
        </w:rPr>
        <w:t xml:space="preserve"> entities</w:t>
      </w:r>
      <w:r w:rsidR="003B0B82" w:rsidRPr="00B7591E">
        <w:rPr>
          <w:rFonts w:ascii="Times New Roman" w:eastAsia="宋体" w:hAnsi="Times New Roman" w:cs="Times New Roman"/>
          <w:sz w:val="22"/>
        </w:rPr>
        <w:t xml:space="preserve"> will be fixed after deployment</w:t>
      </w:r>
      <w:r w:rsidR="001C1C0D" w:rsidRPr="00B7591E">
        <w:rPr>
          <w:rFonts w:ascii="Times New Roman" w:eastAsia="宋体" w:hAnsi="Times New Roman" w:cs="Times New Roman"/>
          <w:sz w:val="22"/>
        </w:rPr>
        <w:t>.</w:t>
      </w:r>
      <w:r w:rsidR="003B0B82" w:rsidRPr="00B7591E">
        <w:rPr>
          <w:rFonts w:ascii="Times New Roman" w:eastAsia="宋体" w:hAnsi="Times New Roman" w:cs="Times New Roman"/>
          <w:sz w:val="22"/>
        </w:rPr>
        <w:t xml:space="preserve"> </w:t>
      </w:r>
      <w:r w:rsidR="001C1C0D" w:rsidRPr="00B7591E">
        <w:rPr>
          <w:rFonts w:ascii="Times New Roman" w:eastAsia="宋体" w:hAnsi="Times New Roman" w:cs="Times New Roman"/>
          <w:sz w:val="22"/>
        </w:rPr>
        <w:t>E</w:t>
      </w:r>
      <w:r w:rsidR="003B0B82" w:rsidRPr="00B7591E">
        <w:rPr>
          <w:rFonts w:ascii="Times New Roman" w:eastAsia="宋体" w:hAnsi="Times New Roman" w:cs="Times New Roman"/>
          <w:sz w:val="22"/>
        </w:rPr>
        <w:t>ven for case 3a, the gNB-side applicability will not change and no need to report to LMF even if functionality identification may be necessary from gNB to LMF.</w:t>
      </w:r>
    </w:p>
    <w:p w14:paraId="3EE957EF" w14:textId="2458D955" w:rsidR="003B0B82" w:rsidRPr="00B7591E" w:rsidRDefault="003B0B82"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NW-side models, additional conditions can also be used to ensure the consistency between training and inference</w:t>
      </w:r>
      <w:r w:rsidR="001C1C0D"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1C1C0D" w:rsidRPr="00B7591E">
        <w:rPr>
          <w:rFonts w:ascii="Times New Roman" w:eastAsia="宋体" w:hAnsi="Times New Roman" w:cs="Times New Roman"/>
          <w:sz w:val="22"/>
        </w:rPr>
        <w:t>H</w:t>
      </w:r>
      <w:r w:rsidRPr="00B7591E">
        <w:rPr>
          <w:rFonts w:ascii="Times New Roman" w:eastAsia="宋体" w:hAnsi="Times New Roman" w:cs="Times New Roman"/>
          <w:sz w:val="22"/>
        </w:rPr>
        <w:t xml:space="preserve">owever, </w:t>
      </w:r>
      <w:r w:rsidR="00987264" w:rsidRPr="00B7591E">
        <w:rPr>
          <w:rFonts w:ascii="Times New Roman" w:eastAsia="宋体" w:hAnsi="Times New Roman" w:cs="Times New Roman"/>
          <w:sz w:val="22"/>
        </w:rPr>
        <w:t>NW</w:t>
      </w:r>
      <w:r w:rsidRPr="00B7591E">
        <w:rPr>
          <w:rFonts w:ascii="Times New Roman" w:eastAsia="宋体" w:hAnsi="Times New Roman" w:cs="Times New Roman"/>
          <w:sz w:val="22"/>
        </w:rPr>
        <w:t xml:space="preserve"> can be aware of the full information of the training details since the training is performed at NW-side, so NW can maintain the information by implementation and no need to inform UE. For case 3a, gNB can report the related conditions or information (e.g., SRS configuration) via </w:t>
      </w:r>
      <w:r w:rsidR="00B7591E" w:rsidRPr="00B7591E">
        <w:rPr>
          <w:rFonts w:ascii="Times New Roman" w:eastAsia="宋体" w:hAnsi="Times New Roman" w:cs="Times New Roman"/>
          <w:i/>
          <w:iCs/>
          <w:sz w:val="22"/>
        </w:rPr>
        <w:t>Transformation</w:t>
      </w:r>
      <w:r w:rsidRPr="00B7591E">
        <w:rPr>
          <w:rFonts w:ascii="Times New Roman" w:eastAsia="宋体" w:hAnsi="Times New Roman" w:cs="Times New Roman"/>
          <w:sz w:val="22"/>
        </w:rPr>
        <w:t xml:space="preserve"> in NRPPa to LMF as legacy way, so no extra specification support is expected.</w:t>
      </w:r>
    </w:p>
    <w:p w14:paraId="18DF3721" w14:textId="77777777" w:rsidR="003B0B82" w:rsidRPr="00B7591E" w:rsidRDefault="003B0B82"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3 For the NW-side models</w:t>
      </w:r>
      <w:r w:rsidR="0058056F" w:rsidRPr="00B7591E">
        <w:rPr>
          <w:rFonts w:ascii="Times New Roman" w:eastAsia="宋体" w:hAnsi="Times New Roman" w:cs="Times New Roman"/>
          <w:b/>
          <w:bCs/>
          <w:sz w:val="22"/>
        </w:rPr>
        <w:t xml:space="preserve"> of positioning use cases</w:t>
      </w:r>
      <w:r w:rsidRPr="00B7591E">
        <w:rPr>
          <w:rFonts w:ascii="Times New Roman" w:eastAsia="宋体" w:hAnsi="Times New Roman" w:cs="Times New Roman"/>
          <w:b/>
          <w:bCs/>
          <w:sz w:val="22"/>
        </w:rPr>
        <w:t xml:space="preserve">, </w:t>
      </w:r>
      <w:r w:rsidR="0058056F" w:rsidRPr="00B7591E">
        <w:rPr>
          <w:rFonts w:ascii="Times New Roman" w:eastAsia="宋体" w:hAnsi="Times New Roman" w:cs="Times New Roman"/>
          <w:b/>
          <w:bCs/>
          <w:sz w:val="22"/>
        </w:rPr>
        <w:t xml:space="preserve">no </w:t>
      </w:r>
      <w:r w:rsidRPr="00B7591E">
        <w:rPr>
          <w:rFonts w:ascii="Times New Roman" w:eastAsia="宋体" w:hAnsi="Times New Roman" w:cs="Times New Roman"/>
          <w:b/>
          <w:bCs/>
          <w:sz w:val="22"/>
        </w:rPr>
        <w:t xml:space="preserve">extra specification effort </w:t>
      </w:r>
      <w:r w:rsidR="00C569F4" w:rsidRPr="00B7591E">
        <w:rPr>
          <w:rFonts w:ascii="Times New Roman" w:eastAsia="宋体" w:hAnsi="Times New Roman" w:cs="Times New Roman"/>
          <w:b/>
          <w:bCs/>
          <w:sz w:val="22"/>
        </w:rPr>
        <w:t xml:space="preserve">is </w:t>
      </w:r>
      <w:r w:rsidRPr="00B7591E">
        <w:rPr>
          <w:rFonts w:ascii="Times New Roman" w:eastAsia="宋体" w:hAnsi="Times New Roman" w:cs="Times New Roman"/>
          <w:b/>
          <w:bCs/>
          <w:sz w:val="22"/>
        </w:rPr>
        <w:t xml:space="preserve">needed for NW-side additional condition used </w:t>
      </w:r>
      <w:r w:rsidR="0058056F" w:rsidRPr="00B7591E">
        <w:rPr>
          <w:rFonts w:ascii="Times New Roman" w:eastAsia="宋体" w:hAnsi="Times New Roman" w:cs="Times New Roman"/>
          <w:b/>
          <w:bCs/>
          <w:sz w:val="22"/>
        </w:rPr>
        <w:t xml:space="preserve">at least </w:t>
      </w:r>
      <w:r w:rsidRPr="00B7591E">
        <w:rPr>
          <w:rFonts w:ascii="Times New Roman" w:eastAsia="宋体" w:hAnsi="Times New Roman" w:cs="Times New Roman"/>
          <w:b/>
          <w:bCs/>
          <w:sz w:val="22"/>
        </w:rPr>
        <w:t>for consistency between model training and inference.</w:t>
      </w:r>
    </w:p>
    <w:p w14:paraId="4652B585" w14:textId="77777777" w:rsidR="007665A7" w:rsidRDefault="007665A7" w:rsidP="007665A7">
      <w:pPr>
        <w:pStyle w:val="2"/>
        <w:numPr>
          <w:ilvl w:val="1"/>
          <w:numId w:val="51"/>
        </w:numPr>
        <w:spacing w:after="240"/>
      </w:pPr>
      <w:r w:rsidRPr="007665A7">
        <w:rPr>
          <w:rFonts w:hint="eastAsia"/>
        </w:rPr>
        <w:t>UE-side model (Case 1)</w:t>
      </w:r>
    </w:p>
    <w:p w14:paraId="6E0A828F" w14:textId="77777777" w:rsidR="006A0F27" w:rsidRPr="00B7591E" w:rsidRDefault="006A0F27" w:rsidP="00B7591E">
      <w:pPr>
        <w:spacing w:afterLines="50" w:after="120"/>
        <w:rPr>
          <w:rFonts w:ascii="Times New Roman" w:eastAsia="宋体" w:hAnsi="Times New Roman" w:cs="Times New Roman"/>
          <w:b/>
          <w:bCs/>
          <w:sz w:val="22"/>
          <w:u w:val="single"/>
        </w:rPr>
      </w:pPr>
      <w:r w:rsidRPr="00B7591E">
        <w:rPr>
          <w:rFonts w:ascii="Times New Roman" w:eastAsia="宋体" w:hAnsi="Times New Roman" w:cs="Times New Roman"/>
          <w:b/>
          <w:bCs/>
          <w:sz w:val="22"/>
          <w:u w:val="single"/>
        </w:rPr>
        <w:t>Applicable Conditions and Additional Conditions</w:t>
      </w:r>
    </w:p>
    <w:p w14:paraId="243FA096" w14:textId="67D7F95A" w:rsidR="00831677" w:rsidRPr="00B7591E" w:rsidRDefault="0083167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w:t>
      </w:r>
      <w:r w:rsidR="00987264" w:rsidRPr="00B7591E">
        <w:rPr>
          <w:rFonts w:ascii="Times New Roman" w:eastAsia="宋体" w:hAnsi="Times New Roman" w:cs="Times New Roman"/>
          <w:sz w:val="22"/>
        </w:rPr>
        <w:t xml:space="preserve">the RAN2 </w:t>
      </w:r>
      <w:r w:rsidRPr="00B7591E">
        <w:rPr>
          <w:rFonts w:ascii="Times New Roman" w:eastAsia="宋体" w:hAnsi="Times New Roman" w:cs="Times New Roman"/>
          <w:sz w:val="22"/>
        </w:rPr>
        <w:t>12</w:t>
      </w:r>
      <w:r w:rsidR="005A1738">
        <w:rPr>
          <w:rFonts w:ascii="Times New Roman" w:eastAsia="宋体" w:hAnsi="Times New Roman" w:cs="Times New Roman" w:hint="eastAsia"/>
          <w:sz w:val="22"/>
        </w:rPr>
        <w:t>7</w:t>
      </w:r>
      <w:r w:rsidRPr="00B7591E">
        <w:rPr>
          <w:rFonts w:ascii="Times New Roman" w:eastAsia="宋体" w:hAnsi="Times New Roman" w:cs="Times New Roman"/>
          <w:sz w:val="22"/>
        </w:rPr>
        <w:t>bis meeting, the following agreements were given:</w:t>
      </w:r>
    </w:p>
    <w:tbl>
      <w:tblPr>
        <w:tblStyle w:val="afa"/>
        <w:tblW w:w="0" w:type="auto"/>
        <w:tblInd w:w="985" w:type="dxa"/>
        <w:tblLook w:val="04A0" w:firstRow="1" w:lastRow="0" w:firstColumn="1" w:lastColumn="0" w:noHBand="0" w:noVBand="1"/>
      </w:tblPr>
      <w:tblGrid>
        <w:gridCol w:w="8752"/>
      </w:tblGrid>
      <w:tr w:rsidR="005A1738" w14:paraId="48FF7DEA" w14:textId="77777777" w:rsidTr="005A1738">
        <w:tc>
          <w:tcPr>
            <w:tcW w:w="9209" w:type="dxa"/>
            <w:tcBorders>
              <w:top w:val="single" w:sz="4" w:space="0" w:color="auto"/>
              <w:left w:val="single" w:sz="4" w:space="0" w:color="auto"/>
              <w:bottom w:val="single" w:sz="4" w:space="0" w:color="auto"/>
              <w:right w:val="single" w:sz="4" w:space="0" w:color="auto"/>
            </w:tcBorders>
          </w:tcPr>
          <w:p w14:paraId="35755D99" w14:textId="77777777" w:rsidR="005A1738" w:rsidRDefault="005A1738">
            <w:pPr>
              <w:pStyle w:val="Doc-text2"/>
              <w:ind w:left="363"/>
              <w:rPr>
                <w:rFonts w:cs="Times New Roman"/>
                <w:b/>
                <w:bCs/>
                <w:kern w:val="0"/>
                <w:sz w:val="20"/>
              </w:rPr>
            </w:pPr>
            <w:r>
              <w:rPr>
                <w:b/>
                <w:bCs/>
              </w:rPr>
              <w:t>Agreements:</w:t>
            </w:r>
          </w:p>
          <w:p w14:paraId="72949896" w14:textId="77777777" w:rsidR="005A1738" w:rsidRDefault="005A1738">
            <w:pPr>
              <w:pStyle w:val="Doc-text2"/>
              <w:ind w:left="363"/>
            </w:pPr>
            <w:r>
              <w:t xml:space="preserve">1: </w:t>
            </w:r>
            <w:r>
              <w:tab/>
              <w:t>The following procedures for LCM for UE sided model for AI positioning case 1 is the baseline:</w:t>
            </w:r>
          </w:p>
          <w:p w14:paraId="49AEA2CF" w14:textId="77777777" w:rsidR="005A1738" w:rsidRDefault="005A1738">
            <w:pPr>
              <w:pStyle w:val="Doc-text2"/>
              <w:ind w:left="726"/>
            </w:pPr>
            <w:r>
              <w:t xml:space="preserve">Step 1: LMF may request the UE to report the supported functionalities at the UE side by </w:t>
            </w:r>
            <w:r>
              <w:rPr>
                <w:i/>
                <w:iCs/>
              </w:rPr>
              <w:t xml:space="preserve">LPP request capabilities </w:t>
            </w:r>
            <w:r>
              <w:t>message.</w:t>
            </w:r>
          </w:p>
          <w:p w14:paraId="4BA8C3D4" w14:textId="77777777" w:rsidR="005A1738" w:rsidRDefault="005A1738">
            <w:pPr>
              <w:pStyle w:val="Doc-text2"/>
              <w:ind w:left="726"/>
            </w:pPr>
            <w:r>
              <w:t xml:space="preserve">Step 2: UE sends </w:t>
            </w:r>
            <w:r>
              <w:rPr>
                <w:i/>
                <w:iCs/>
              </w:rPr>
              <w:t>LPP provide capabilities</w:t>
            </w:r>
            <w:r>
              <w:t xml:space="preserve"> message to LMF with the supported functionalities at the UE side.</w:t>
            </w:r>
          </w:p>
          <w:p w14:paraId="246D73AF" w14:textId="77777777" w:rsidR="005A1738" w:rsidRDefault="005A1738">
            <w:pPr>
              <w:pStyle w:val="Doc-text2"/>
              <w:ind w:left="726"/>
            </w:pPr>
            <w:r>
              <w:t xml:space="preserve">Step 3: LMF sends the </w:t>
            </w:r>
            <w:r>
              <w:rPr>
                <w:i/>
                <w:iCs/>
              </w:rPr>
              <w:t>LPP provide assistance data</w:t>
            </w:r>
            <w:r>
              <w:t xml:space="preserve"> message (which may contain network side additional condition).</w:t>
            </w:r>
          </w:p>
          <w:p w14:paraId="15FBC7FC" w14:textId="77777777" w:rsidR="005A1738" w:rsidRDefault="005A1738">
            <w:pPr>
              <w:pStyle w:val="Doc-text2"/>
              <w:ind w:left="726"/>
            </w:pPr>
            <w:r>
              <w:t xml:space="preserve">Step 4: UE reports the applicable functionality to the LMF by the </w:t>
            </w:r>
            <w:r>
              <w:rPr>
                <w:i/>
                <w:iCs/>
              </w:rPr>
              <w:t>LPP provide capabilities</w:t>
            </w:r>
            <w:r>
              <w:t xml:space="preserve"> message.</w:t>
            </w:r>
          </w:p>
          <w:p w14:paraId="7733C5FE" w14:textId="77777777" w:rsidR="005A1738" w:rsidRDefault="005A1738">
            <w:pPr>
              <w:pStyle w:val="Doc-text2"/>
              <w:ind w:left="726"/>
            </w:pPr>
            <w:r>
              <w:t xml:space="preserve">Step 5: The LMF requests the inferred location information using the </w:t>
            </w:r>
            <w:r>
              <w:rPr>
                <w:i/>
                <w:iCs/>
              </w:rPr>
              <w:t>LPP request location information</w:t>
            </w:r>
            <w:r>
              <w:t xml:space="preserve"> message.</w:t>
            </w:r>
          </w:p>
          <w:p w14:paraId="58C43DDD" w14:textId="42026268" w:rsidR="005A1738" w:rsidRPr="005A1738" w:rsidRDefault="005A1738" w:rsidP="005A1738">
            <w:pPr>
              <w:pStyle w:val="Doc-text2"/>
              <w:ind w:left="726"/>
              <w:rPr>
                <w:rFonts w:eastAsiaTheme="minorEastAsia"/>
                <w:lang w:eastAsia="zh-CN"/>
              </w:rPr>
            </w:pPr>
            <w:r>
              <w:t xml:space="preserve">Step 6: UE reports the inferred location using </w:t>
            </w:r>
            <w:r>
              <w:rPr>
                <w:i/>
                <w:iCs/>
              </w:rPr>
              <w:t>LPP provide location information</w:t>
            </w:r>
            <w:r>
              <w:t xml:space="preserve"> message.</w:t>
            </w:r>
          </w:p>
          <w:p w14:paraId="7B863055" w14:textId="77777777" w:rsidR="005A1738" w:rsidRDefault="005A1738">
            <w:pPr>
              <w:pStyle w:val="Doc-text2"/>
              <w:ind w:left="363"/>
              <w:rPr>
                <w:rFonts w:cs="Times New Roman"/>
                <w:lang w:val="en-GB"/>
              </w:rPr>
            </w:pPr>
            <w:r>
              <w:t xml:space="preserve">2: </w:t>
            </w:r>
            <w:r>
              <w:tab/>
              <w:t>Whether the inference configuration is provided in step 3 or/and step 5 is FFS (to be revised based on RAN1 progress).</w:t>
            </w:r>
          </w:p>
          <w:p w14:paraId="65F9200B" w14:textId="77777777" w:rsidR="005A1738" w:rsidRDefault="005A1738">
            <w:pPr>
              <w:pStyle w:val="Doc-text2"/>
              <w:ind w:left="363"/>
            </w:pPr>
            <w:r>
              <w:t xml:space="preserve">3: </w:t>
            </w:r>
            <w:r>
              <w:tab/>
              <w:t>Whether network side additional condition is needed and what it contains is FFS (to be revised based on RAN1 progress).</w:t>
            </w:r>
          </w:p>
          <w:p w14:paraId="214F26E1" w14:textId="77777777" w:rsidR="005A1738" w:rsidRDefault="005A1738">
            <w:pPr>
              <w:pStyle w:val="Doc-text2"/>
              <w:ind w:left="363"/>
            </w:pPr>
            <w:r>
              <w:t xml:space="preserve">4: </w:t>
            </w:r>
            <w:r>
              <w:tab/>
              <w:t xml:space="preserve">FFS whether LMF controls the UE sending unsolicited LPP provide capabilities (i.e. whether step4 is sent reactively or proactively).  FFS the signalling details.   </w:t>
            </w:r>
          </w:p>
          <w:p w14:paraId="53FA6B9E" w14:textId="2B38EDAA" w:rsidR="005A1738" w:rsidRPr="005A1738" w:rsidRDefault="005A1738" w:rsidP="005A1738">
            <w:pPr>
              <w:pStyle w:val="Doc-text2"/>
              <w:ind w:left="363"/>
              <w:rPr>
                <w:rFonts w:eastAsiaTheme="minorEastAsia"/>
                <w:lang w:eastAsia="zh-CN"/>
              </w:rPr>
            </w:pPr>
            <w:r>
              <w:t xml:space="preserve">5:   RAN2 will decide whether AI positioning will be a new method after further details from RAN1 are received.  </w:t>
            </w:r>
          </w:p>
        </w:tc>
      </w:tr>
    </w:tbl>
    <w:p w14:paraId="6241A67A" w14:textId="77777777" w:rsidR="00831677" w:rsidRPr="005A1738" w:rsidRDefault="00831677" w:rsidP="00B7591E">
      <w:pPr>
        <w:spacing w:afterLines="50" w:after="120"/>
        <w:rPr>
          <w:rFonts w:ascii="Times New Roman" w:eastAsia="宋体" w:hAnsi="Times New Roman" w:cs="Times New Roman"/>
          <w:sz w:val="22"/>
        </w:rPr>
      </w:pPr>
    </w:p>
    <w:p w14:paraId="0B9C91F5" w14:textId="3F50992B" w:rsidR="006A0F27" w:rsidRPr="00B7591E" w:rsidRDefault="006A0F27"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 bunch of terminologies have been </w:t>
      </w:r>
      <w:r w:rsidR="0058056F" w:rsidRPr="00B7591E">
        <w:rPr>
          <w:rFonts w:ascii="Times New Roman" w:eastAsia="宋体" w:hAnsi="Times New Roman" w:cs="Times New Roman"/>
          <w:sz w:val="22"/>
        </w:rPr>
        <w:t>propose</w:t>
      </w:r>
      <w:r w:rsidRPr="00B7591E">
        <w:rPr>
          <w:rFonts w:ascii="Times New Roman" w:eastAsia="宋体" w:hAnsi="Times New Roman" w:cs="Times New Roman"/>
          <w:sz w:val="22"/>
        </w:rPr>
        <w:t xml:space="preserve">d for </w:t>
      </w:r>
      <w:r w:rsidR="00B674C4" w:rsidRPr="00B7591E">
        <w:rPr>
          <w:rFonts w:ascii="Times New Roman" w:eastAsia="宋体" w:hAnsi="Times New Roman" w:cs="Times New Roman"/>
          <w:sz w:val="22"/>
        </w:rPr>
        <w:t>the RAN1</w:t>
      </w:r>
      <w:r w:rsidRPr="00B7591E">
        <w:rPr>
          <w:rFonts w:ascii="Times New Roman" w:eastAsia="宋体" w:hAnsi="Times New Roman" w:cs="Times New Roman"/>
          <w:sz w:val="22"/>
        </w:rPr>
        <w:t xml:space="preserve"> and RAN2 discussion, e.g., applicable condition, additional </w:t>
      </w:r>
      <w:r w:rsidR="00927855" w:rsidRPr="00B7591E">
        <w:rPr>
          <w:rFonts w:ascii="Times New Roman" w:eastAsia="宋体" w:hAnsi="Times New Roman" w:cs="Times New Roman"/>
          <w:sz w:val="22"/>
        </w:rPr>
        <w:t>condition,</w:t>
      </w:r>
      <w:r w:rsidRPr="00B7591E">
        <w:rPr>
          <w:rFonts w:ascii="Times New Roman" w:eastAsia="宋体" w:hAnsi="Times New Roman" w:cs="Times New Roman"/>
          <w:sz w:val="22"/>
        </w:rPr>
        <w:t xml:space="preserve"> and condition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007F2A8E" w:rsidRPr="00B7591E">
        <w:rPr>
          <w:rFonts w:ascii="Times New Roman" w:eastAsia="宋体" w:hAnsi="Times New Roman" w:cs="Times New Roman"/>
          <w:sz w:val="22"/>
        </w:rPr>
        <w:t>o</w:t>
      </w:r>
      <w:r w:rsidRPr="00B7591E">
        <w:rPr>
          <w:rFonts w:ascii="Times New Roman" w:eastAsia="宋体" w:hAnsi="Times New Roman" w:cs="Times New Roman"/>
          <w:sz w:val="22"/>
        </w:rPr>
        <w:t xml:space="preserve"> avoid further confusion, it is necessary to clarify these terminologies as soon as possible. </w:t>
      </w:r>
    </w:p>
    <w:p w14:paraId="2B27CA97" w14:textId="36E78221" w:rsidR="00A662C4" w:rsidRPr="00B7591E" w:rsidRDefault="00A662C4"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lastRenderedPageBreak/>
        <w:t xml:space="preserve">For the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to report applicable conditions, Capability and Assistance Data</w:t>
      </w:r>
      <w:r w:rsidR="000A0B64" w:rsidRPr="00B7591E">
        <w:rPr>
          <w:rFonts w:ascii="Times New Roman" w:eastAsia="宋体" w:hAnsi="Times New Roman" w:cs="Times New Roman"/>
          <w:sz w:val="22"/>
        </w:rPr>
        <w:t xml:space="preserve"> defined in LPP</w:t>
      </w:r>
      <w:r w:rsidRPr="00B7591E">
        <w:rPr>
          <w:rFonts w:ascii="Times New Roman" w:eastAsia="宋体" w:hAnsi="Times New Roman" w:cs="Times New Roman"/>
          <w:sz w:val="22"/>
        </w:rPr>
        <w:t xml:space="preserve"> can be used for reactive and proactive reporting</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D</w:t>
      </w:r>
      <w:r w:rsidRPr="00B7591E">
        <w:rPr>
          <w:rFonts w:ascii="Times New Roman" w:eastAsia="宋体" w:hAnsi="Times New Roman" w:cs="Times New Roman"/>
          <w:sz w:val="22"/>
        </w:rPr>
        <w:t xml:space="preserve">etails can be discussed after the clarification of </w:t>
      </w:r>
      <w:r w:rsidR="000A0B64" w:rsidRPr="00B7591E">
        <w:rPr>
          <w:rFonts w:ascii="Times New Roman" w:eastAsia="宋体" w:hAnsi="Times New Roman" w:cs="Times New Roman"/>
          <w:sz w:val="22"/>
        </w:rPr>
        <w:t xml:space="preserve">the </w:t>
      </w:r>
      <w:r w:rsidRPr="00B7591E">
        <w:rPr>
          <w:rFonts w:ascii="Times New Roman" w:eastAsia="宋体" w:hAnsi="Times New Roman" w:cs="Times New Roman"/>
          <w:sz w:val="22"/>
        </w:rPr>
        <w:t>definitions</w:t>
      </w:r>
      <w:r w:rsidR="000A0B64" w:rsidRPr="00B7591E">
        <w:rPr>
          <w:rFonts w:ascii="Times New Roman" w:eastAsia="宋体" w:hAnsi="Times New Roman" w:cs="Times New Roman"/>
          <w:sz w:val="22"/>
        </w:rPr>
        <w:t xml:space="preserve"> of applicable conditions</w:t>
      </w:r>
      <w:r w:rsidRPr="00B7591E">
        <w:rPr>
          <w:rFonts w:ascii="Times New Roman" w:eastAsia="宋体" w:hAnsi="Times New Roman" w:cs="Times New Roman"/>
          <w:sz w:val="22"/>
        </w:rPr>
        <w:t>.</w:t>
      </w:r>
    </w:p>
    <w:p w14:paraId="777346C8" w14:textId="13845F59" w:rsidR="005A1738"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4</w:t>
      </w:r>
      <w:r w:rsidRPr="005A1738">
        <w:rPr>
          <w:rFonts w:ascii="Times New Roman" w:eastAsia="宋体" w:hAnsi="Times New Roman" w:cs="Times New Roman" w:hint="eastAsia"/>
          <w:b/>
          <w:bCs/>
          <w:sz w:val="22"/>
        </w:rPr>
        <w:t xml:space="preserve"> In step 4, both LPP provide </w:t>
      </w:r>
      <w:r w:rsidR="00D93077" w:rsidRPr="005A1738">
        <w:rPr>
          <w:rFonts w:ascii="Times New Roman" w:eastAsia="宋体" w:hAnsi="Times New Roman" w:cs="Times New Roman"/>
          <w:b/>
          <w:bCs/>
          <w:sz w:val="22"/>
        </w:rPr>
        <w:t>capabilities,</w:t>
      </w:r>
      <w:r w:rsidRPr="005A1738">
        <w:rPr>
          <w:rFonts w:ascii="Times New Roman" w:eastAsia="宋体" w:hAnsi="Times New Roman" w:cs="Times New Roman" w:hint="eastAsia"/>
          <w:b/>
          <w:bCs/>
          <w:sz w:val="22"/>
        </w:rPr>
        <w:t xml:space="preserve"> and LPP assistance data messages can be used to report applicability for proactive and reactive reporting.</w:t>
      </w:r>
    </w:p>
    <w:p w14:paraId="63A059BB" w14:textId="1210EABA" w:rsidR="00AD3FE3" w:rsidRPr="00AD3FE3" w:rsidRDefault="00AD3FE3" w:rsidP="005A1738">
      <w:pPr>
        <w:spacing w:afterLines="50" w:after="120"/>
        <w:rPr>
          <w:rFonts w:ascii="Times New Roman" w:eastAsia="宋体" w:hAnsi="Times New Roman" w:cs="Times New Roman"/>
          <w:sz w:val="22"/>
        </w:rPr>
      </w:pPr>
      <w:r w:rsidRPr="00AD3FE3">
        <w:rPr>
          <w:rFonts w:ascii="Times New Roman" w:eastAsia="宋体" w:hAnsi="Times New Roman" w:cs="Times New Roman" w:hint="eastAsia"/>
          <w:sz w:val="22"/>
        </w:rPr>
        <w:t xml:space="preserve">Similar to our parallel discussion for beam management, we believe the inference configuration can be </w:t>
      </w:r>
      <w:r w:rsidRPr="00AD3FE3">
        <w:rPr>
          <w:rFonts w:ascii="Times New Roman" w:eastAsia="宋体" w:hAnsi="Times New Roman" w:cs="Times New Roman"/>
          <w:sz w:val="22"/>
        </w:rPr>
        <w:t>signaled</w:t>
      </w:r>
      <w:r w:rsidRPr="00AD3FE3">
        <w:rPr>
          <w:rFonts w:ascii="Times New Roman" w:eastAsia="宋体" w:hAnsi="Times New Roman" w:cs="Times New Roman" w:hint="eastAsia"/>
          <w:sz w:val="22"/>
        </w:rPr>
        <w:t xml:space="preserve"> via either step 3 or step 5 so that more flexibility can be achieved.</w:t>
      </w:r>
      <w:r w:rsidR="00B674C4">
        <w:rPr>
          <w:rFonts w:ascii="Times New Roman" w:eastAsia="宋体" w:hAnsi="Times New Roman" w:cs="Times New Roman" w:hint="eastAsia"/>
          <w:sz w:val="22"/>
        </w:rPr>
        <w:t xml:space="preserve"> UE may start the AI/ML inference once the applicability is determined, without waiting for further signaling.</w:t>
      </w:r>
    </w:p>
    <w:p w14:paraId="1C6F570D" w14:textId="3F51C6B9" w:rsidR="005A1738"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sidR="00D93077">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00AD3FE3" w:rsidRPr="005A1738">
        <w:rPr>
          <w:rFonts w:ascii="Times New Roman" w:eastAsia="宋体" w:hAnsi="Times New Roman" w:cs="Times New Roman"/>
          <w:b/>
          <w:bCs/>
          <w:sz w:val="22"/>
        </w:rPr>
        <w:t xml:space="preserve">step </w:t>
      </w:r>
      <w:r w:rsidR="00D93077">
        <w:rPr>
          <w:rFonts w:ascii="Times New Roman" w:eastAsia="宋体" w:hAnsi="Times New Roman" w:cs="Times New Roman" w:hint="eastAsia"/>
          <w:b/>
          <w:bCs/>
          <w:sz w:val="22"/>
        </w:rPr>
        <w:t>3.</w:t>
      </w:r>
    </w:p>
    <w:p w14:paraId="65A1243E" w14:textId="59C6709F" w:rsidR="00B674C4" w:rsidRPr="00B674C4" w:rsidRDefault="00B674C4" w:rsidP="005A1738">
      <w:pPr>
        <w:spacing w:afterLines="50" w:after="120"/>
        <w:rPr>
          <w:rFonts w:ascii="Times New Roman" w:eastAsia="宋体" w:hAnsi="Times New Roman" w:cs="Times New Roman"/>
          <w:sz w:val="22"/>
        </w:rPr>
      </w:pPr>
      <w:r w:rsidRPr="00B674C4">
        <w:rPr>
          <w:rFonts w:ascii="Times New Roman" w:eastAsia="宋体" w:hAnsi="Times New Roman" w:cs="Times New Roman" w:hint="eastAsia"/>
          <w:sz w:val="22"/>
        </w:rPr>
        <w:t xml:space="preserve">In legacy LPP framework, UE may send unsolicited capability information upon NW request, however, the content to be reported can be </w:t>
      </w:r>
      <w:r w:rsidR="00984294" w:rsidRPr="00B674C4">
        <w:rPr>
          <w:rFonts w:ascii="Times New Roman" w:eastAsia="宋体" w:hAnsi="Times New Roman" w:cs="Times New Roman"/>
          <w:sz w:val="22"/>
        </w:rPr>
        <w:t>decided</w:t>
      </w:r>
      <w:r w:rsidRPr="00B674C4">
        <w:rPr>
          <w:rFonts w:ascii="Times New Roman" w:eastAsia="宋体" w:hAnsi="Times New Roman" w:cs="Times New Roman" w:hint="eastAsia"/>
          <w:sz w:val="22"/>
        </w:rPr>
        <w:t xml:space="preserve"> by UE itself if no explicit configuration is given. In AI/ML, we suggest </w:t>
      </w:r>
      <w:r w:rsidRPr="00B674C4">
        <w:rPr>
          <w:rFonts w:ascii="Times New Roman" w:eastAsia="宋体" w:hAnsi="Times New Roman" w:cs="Times New Roman"/>
          <w:sz w:val="22"/>
        </w:rPr>
        <w:t>following</w:t>
      </w:r>
      <w:r w:rsidRPr="00B674C4">
        <w:rPr>
          <w:rFonts w:ascii="Times New Roman" w:eastAsia="宋体" w:hAnsi="Times New Roman" w:cs="Times New Roman" w:hint="eastAsia"/>
          <w:sz w:val="22"/>
        </w:rPr>
        <w:t xml:space="preserve"> this </w:t>
      </w:r>
      <w:r w:rsidRPr="00B674C4">
        <w:rPr>
          <w:rFonts w:ascii="Times New Roman" w:eastAsia="宋体" w:hAnsi="Times New Roman" w:cs="Times New Roman"/>
          <w:sz w:val="22"/>
        </w:rPr>
        <w:t>mechanism</w:t>
      </w:r>
      <w:r w:rsidRPr="00B674C4">
        <w:rPr>
          <w:rFonts w:ascii="Times New Roman" w:eastAsia="宋体" w:hAnsi="Times New Roman" w:cs="Times New Roman" w:hint="eastAsia"/>
          <w:sz w:val="22"/>
        </w:rPr>
        <w:t xml:space="preserve"> as </w:t>
      </w:r>
      <w:r w:rsidRPr="00B674C4">
        <w:rPr>
          <w:rFonts w:ascii="Times New Roman" w:eastAsia="宋体" w:hAnsi="Times New Roman" w:cs="Times New Roman"/>
          <w:sz w:val="22"/>
        </w:rPr>
        <w:t>a baseline</w:t>
      </w:r>
      <w:r w:rsidRPr="00B674C4">
        <w:rPr>
          <w:rFonts w:ascii="Times New Roman" w:eastAsia="宋体" w:hAnsi="Times New Roman" w:cs="Times New Roman" w:hint="eastAsia"/>
          <w:sz w:val="22"/>
        </w:rPr>
        <w:t>.</w:t>
      </w:r>
    </w:p>
    <w:p w14:paraId="41221927" w14:textId="632E441D" w:rsidR="00B7591E" w:rsidRPr="00B7591E"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6</w:t>
      </w:r>
      <w:r w:rsidRPr="005A1738">
        <w:rPr>
          <w:rFonts w:ascii="Times New Roman" w:eastAsia="宋体" w:hAnsi="Times New Roman" w:cs="Times New Roman" w:hint="eastAsia"/>
          <w:b/>
          <w:bCs/>
          <w:sz w:val="22"/>
        </w:rPr>
        <w:t xml:space="preserve"> UE may decide the contents to be reported via step 4 if no explicit NW configuration is given.</w:t>
      </w:r>
    </w:p>
    <w:p w14:paraId="530C7FDF" w14:textId="77777777" w:rsidR="00927855" w:rsidRPr="00B7591E" w:rsidRDefault="00927855" w:rsidP="00B7591E">
      <w:pPr>
        <w:spacing w:afterLines="50" w:after="120"/>
        <w:rPr>
          <w:rFonts w:ascii="Times New Roman" w:eastAsia="宋体" w:hAnsi="Times New Roman" w:cs="Times New Roman"/>
          <w:b/>
          <w:bCs/>
          <w:sz w:val="22"/>
          <w:u w:val="single"/>
        </w:rPr>
      </w:pPr>
      <w:r w:rsidRPr="00B7591E">
        <w:rPr>
          <w:rFonts w:ascii="Times New Roman" w:eastAsia="宋体" w:hAnsi="Times New Roman" w:cs="Times New Roman"/>
          <w:b/>
          <w:bCs/>
          <w:sz w:val="22"/>
          <w:u w:val="single"/>
        </w:rPr>
        <w:t>Monitoring and LCM</w:t>
      </w:r>
    </w:p>
    <w:p w14:paraId="21925D70" w14:textId="77777777" w:rsidR="00927855" w:rsidRPr="00B7591E" w:rsidRDefault="00927855"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In RAN2 #125bis meeting, the following agreements were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927855" w:rsidRPr="00B7591E" w14:paraId="2F8EDD63" w14:textId="77777777">
        <w:tc>
          <w:tcPr>
            <w:tcW w:w="9963" w:type="dxa"/>
            <w:shd w:val="clear" w:color="auto" w:fill="auto"/>
          </w:tcPr>
          <w:p w14:paraId="071759D9" w14:textId="77777777" w:rsidR="00927855" w:rsidRPr="00B7591E" w:rsidRDefault="00927855" w:rsidP="00B7591E">
            <w:pPr>
              <w:spacing w:afterLines="50" w:after="120"/>
              <w:rPr>
                <w:rFonts w:ascii="Times New Roman" w:eastAsia="宋体" w:hAnsi="Times New Roman" w:cs="Times New Roman"/>
                <w:b/>
                <w:bCs/>
                <w:sz w:val="22"/>
                <w:lang w:val="x-none"/>
              </w:rPr>
            </w:pPr>
            <w:r w:rsidRPr="00B7591E">
              <w:rPr>
                <w:rFonts w:ascii="Times New Roman" w:eastAsia="宋体" w:hAnsi="Times New Roman" w:cs="Times New Roman"/>
                <w:b/>
                <w:bCs/>
                <w:sz w:val="22"/>
                <w:lang w:val="x-none"/>
              </w:rPr>
              <w:t>Agreements:</w:t>
            </w:r>
          </w:p>
          <w:p w14:paraId="25DE8A3D" w14:textId="77777777" w:rsidR="00927855" w:rsidRPr="00B7591E" w:rsidRDefault="00927855" w:rsidP="00B7591E">
            <w:pPr>
              <w:spacing w:afterLines="50" w:after="120"/>
              <w:rPr>
                <w:rFonts w:ascii="Times New Roman" w:eastAsia="宋体" w:hAnsi="Times New Roman" w:cs="Times New Roman"/>
                <w:sz w:val="22"/>
                <w:lang w:val="x-none"/>
              </w:rPr>
            </w:pPr>
            <w:r w:rsidRPr="00B7591E">
              <w:rPr>
                <w:rFonts w:ascii="Times New Roman" w:eastAsia="宋体" w:hAnsi="Times New Roman" w:cs="Times New Roman"/>
                <w:sz w:val="22"/>
                <w:lang w:val="x-none"/>
              </w:rPr>
              <w:t>1</w:t>
            </w:r>
            <w:r w:rsidRPr="00B7591E">
              <w:rPr>
                <w:rFonts w:ascii="Times New Roman" w:eastAsia="宋体" w:hAnsi="Times New Roman" w:cs="Times New Roman"/>
                <w:sz w:val="22"/>
                <w:lang w:val="x-none"/>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56A06AC" w14:textId="77777777" w:rsidR="00927855" w:rsidRPr="00B7591E" w:rsidRDefault="00927855" w:rsidP="00B7591E">
            <w:pPr>
              <w:spacing w:afterLines="50" w:after="120"/>
              <w:rPr>
                <w:rFonts w:ascii="Times New Roman" w:eastAsia="宋体" w:hAnsi="Times New Roman" w:cs="Times New Roman"/>
                <w:sz w:val="22"/>
                <w:u w:val="single"/>
                <w:lang w:val="x-none"/>
              </w:rPr>
            </w:pPr>
            <w:r w:rsidRPr="00B7591E">
              <w:rPr>
                <w:rFonts w:ascii="Times New Roman" w:eastAsia="宋体" w:hAnsi="Times New Roman" w:cs="Times New Roman"/>
                <w:sz w:val="22"/>
                <w:lang w:val="x-none"/>
              </w:rPr>
              <w:t>2</w:t>
            </w:r>
            <w:r w:rsidRPr="00B7591E">
              <w:rPr>
                <w:rFonts w:ascii="Times New Roman" w:eastAsia="宋体" w:hAnsi="Times New Roman" w:cs="Times New Roman"/>
                <w:sz w:val="22"/>
                <w:lang w:val="x-none"/>
              </w:rPr>
              <w:tab/>
              <w:t>“UE-autonomous, UE’s decision is not reported to the network” is not considered for Rel-19.</w:t>
            </w:r>
          </w:p>
        </w:tc>
      </w:tr>
    </w:tbl>
    <w:p w14:paraId="16CFDDD5" w14:textId="77777777" w:rsidR="00927855" w:rsidRPr="00B7591E" w:rsidRDefault="00927855" w:rsidP="00B7591E">
      <w:pPr>
        <w:spacing w:afterLines="50" w:after="120"/>
        <w:rPr>
          <w:rFonts w:ascii="Times New Roman" w:eastAsia="宋体" w:hAnsi="Times New Roman" w:cs="Times New Roman"/>
          <w:sz w:val="22"/>
          <w:u w:val="single"/>
        </w:rPr>
      </w:pPr>
    </w:p>
    <w:p w14:paraId="3F7DF711" w14:textId="77777777"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positing case 1, both UE and LMF can be used to calculate the monitoring metrics according to RAN1’s current discussion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Pr="00B7591E">
        <w:rPr>
          <w:rFonts w:ascii="Times New Roman" w:eastAsia="宋体" w:hAnsi="Times New Roman" w:cs="Times New Roman"/>
          <w:sz w:val="22"/>
        </w:rPr>
        <w:t>he feasibility of the two options is still under investigation in RAN1, so RAN2 may wait for further RAN1 progress.</w:t>
      </w:r>
    </w:p>
    <w:p w14:paraId="5E7C13FA" w14:textId="195F2060"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According to the current LPP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design, even if UE can make decision of the preliminary monitoring results, a final confirmation from LMF is preferred.</w:t>
      </w:r>
    </w:p>
    <w:p w14:paraId="59173EA0" w14:textId="42EBAFED"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5A1738">
        <w:rPr>
          <w:rFonts w:ascii="Times New Roman" w:eastAsia="宋体" w:hAnsi="Times New Roman" w:cs="Times New Roman" w:hint="eastAsia"/>
          <w:b/>
          <w:bCs/>
          <w:sz w:val="22"/>
        </w:rPr>
        <w:t>7</w:t>
      </w:r>
      <w:r w:rsidRPr="00B7591E">
        <w:rPr>
          <w:rFonts w:ascii="Times New Roman" w:eastAsia="宋体" w:hAnsi="Times New Roman" w:cs="Times New Roman"/>
          <w:b/>
          <w:bCs/>
          <w:sz w:val="22"/>
        </w:rPr>
        <w:t xml:space="preserve"> For detailed design of functionality management, RAN2 wait for RAN1 progress on UE/LMF monitoring options of positioning case 1.</w:t>
      </w:r>
    </w:p>
    <w:p w14:paraId="6BCA7409" w14:textId="0BCD818F"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5A1738">
        <w:rPr>
          <w:rFonts w:ascii="Times New Roman" w:eastAsia="宋体" w:hAnsi="Times New Roman" w:cs="Times New Roman" w:hint="eastAsia"/>
          <w:b/>
          <w:bCs/>
          <w:sz w:val="22"/>
        </w:rPr>
        <w:t>8</w:t>
      </w:r>
      <w:r w:rsidRPr="00B7591E">
        <w:rPr>
          <w:rFonts w:ascii="Times New Roman" w:eastAsia="宋体" w:hAnsi="Times New Roman" w:cs="Times New Roman"/>
          <w:b/>
          <w:bCs/>
          <w:sz w:val="22"/>
        </w:rPr>
        <w:t xml:space="preserve"> For positioning case 1, even if UE can calculate the monitoring metrics and make preliminary decisions of the monitoring results, </w:t>
      </w:r>
      <w:r w:rsidR="00B674C4" w:rsidRPr="00B7591E">
        <w:rPr>
          <w:rFonts w:ascii="Times New Roman" w:eastAsia="宋体" w:hAnsi="Times New Roman" w:cs="Times New Roman"/>
          <w:b/>
          <w:bCs/>
          <w:sz w:val="22"/>
        </w:rPr>
        <w:t>final</w:t>
      </w:r>
      <w:r w:rsidRPr="00B7591E">
        <w:rPr>
          <w:rFonts w:ascii="Times New Roman" w:eastAsia="宋体" w:hAnsi="Times New Roman" w:cs="Times New Roman"/>
          <w:b/>
          <w:bCs/>
          <w:sz w:val="22"/>
        </w:rPr>
        <w:t xml:space="preserve"> confirmation from LMF is preferred.</w:t>
      </w:r>
    </w:p>
    <w:p w14:paraId="50D27D65" w14:textId="005FE28B" w:rsidR="00CC0AB7" w:rsidRPr="00B7591E" w:rsidRDefault="003060F6"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T</w:t>
      </w:r>
      <w:r w:rsidR="00CC0AB7" w:rsidRPr="00B7591E">
        <w:rPr>
          <w:rFonts w:ascii="Times New Roman" w:eastAsia="宋体" w:hAnsi="Times New Roman" w:cs="Times New Roman"/>
          <w:sz w:val="22"/>
        </w:rPr>
        <w:t>here are two types of monitoring proposed in RAN1, functionality and model monitoring</w:t>
      </w:r>
      <w:r w:rsidR="00C569F4"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I</w:t>
      </w:r>
      <w:r w:rsidR="00CC0AB7" w:rsidRPr="00B7591E">
        <w:rPr>
          <w:rFonts w:ascii="Times New Roman" w:eastAsia="宋体" w:hAnsi="Times New Roman" w:cs="Times New Roman"/>
          <w:sz w:val="22"/>
        </w:rPr>
        <w:t xml:space="preserve">n RAN1 discussion, </w:t>
      </w:r>
      <w:r w:rsidR="007F2A8E" w:rsidRPr="00B7591E">
        <w:rPr>
          <w:rFonts w:ascii="Times New Roman" w:eastAsia="宋体" w:hAnsi="Times New Roman" w:cs="Times New Roman"/>
          <w:sz w:val="22"/>
        </w:rPr>
        <w:t>many</w:t>
      </w:r>
      <w:r w:rsidR="00CC0AB7" w:rsidRPr="00B7591E">
        <w:rPr>
          <w:rFonts w:ascii="Times New Roman" w:eastAsia="宋体" w:hAnsi="Times New Roman" w:cs="Times New Roman"/>
          <w:sz w:val="22"/>
        </w:rPr>
        <w:t xml:space="preserve"> companies prefer to have functionality-based LCM including functionality monitoring</w:t>
      </w:r>
      <w:r w:rsidR="00C569F4"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However</w:t>
      </w:r>
      <w:r w:rsidR="00CC0AB7" w:rsidRPr="00B7591E">
        <w:rPr>
          <w:rFonts w:ascii="Times New Roman" w:eastAsia="宋体" w:hAnsi="Times New Roman" w:cs="Times New Roman"/>
          <w:sz w:val="22"/>
        </w:rPr>
        <w:t>, the details have not been touched in RAN1. From RAN2 point of view, it is better to wait for further RAN1 conclusions on the relationship between functionality and model monitoring</w:t>
      </w:r>
      <w:r w:rsidR="006A2AE2"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w:t>
      </w:r>
      <w:r w:rsidR="006A2AE2" w:rsidRPr="00B7591E">
        <w:rPr>
          <w:rFonts w:ascii="Times New Roman" w:eastAsia="宋体" w:hAnsi="Times New Roman" w:cs="Times New Roman"/>
          <w:sz w:val="22"/>
        </w:rPr>
        <w:t>For instance</w:t>
      </w:r>
      <w:r w:rsidR="00CC0AB7" w:rsidRPr="00B7591E">
        <w:rPr>
          <w:rFonts w:ascii="Times New Roman" w:eastAsia="宋体" w:hAnsi="Times New Roman" w:cs="Times New Roman"/>
          <w:sz w:val="22"/>
        </w:rPr>
        <w:t>, if multiple models are defined under one functionality, RAN2 need</w:t>
      </w:r>
      <w:r w:rsidR="006A2AE2" w:rsidRPr="00B7591E">
        <w:rPr>
          <w:rFonts w:ascii="Times New Roman" w:eastAsia="宋体" w:hAnsi="Times New Roman" w:cs="Times New Roman"/>
          <w:sz w:val="22"/>
        </w:rPr>
        <w:t>s</w:t>
      </w:r>
      <w:r w:rsidR="00CC0AB7" w:rsidRPr="00B7591E">
        <w:rPr>
          <w:rFonts w:ascii="Times New Roman" w:eastAsia="宋体" w:hAnsi="Times New Roman" w:cs="Times New Roman"/>
          <w:sz w:val="22"/>
        </w:rPr>
        <w:t xml:space="preserve"> to study </w:t>
      </w:r>
      <w:r w:rsidR="00B7591E" w:rsidRPr="00B7591E">
        <w:rPr>
          <w:rFonts w:ascii="Times New Roman" w:eastAsia="宋体" w:hAnsi="Times New Roman" w:cs="Times New Roman"/>
          <w:sz w:val="22"/>
        </w:rPr>
        <w:t>signaling</w:t>
      </w:r>
      <w:r w:rsidR="00CC0AB7" w:rsidRPr="00B7591E">
        <w:rPr>
          <w:rFonts w:ascii="Times New Roman" w:eastAsia="宋体" w:hAnsi="Times New Roman" w:cs="Times New Roman"/>
          <w:sz w:val="22"/>
        </w:rPr>
        <w:t xml:space="preserve"> and framework for some details</w:t>
      </w:r>
      <w:r w:rsidR="006A2AE2" w:rsidRPr="00B7591E">
        <w:rPr>
          <w:rFonts w:ascii="Times New Roman" w:eastAsia="宋体" w:hAnsi="Times New Roman" w:cs="Times New Roman"/>
          <w:sz w:val="22"/>
        </w:rPr>
        <w:t>,</w:t>
      </w:r>
      <w:r w:rsidR="00CC0AB7" w:rsidRPr="00B7591E">
        <w:rPr>
          <w:rFonts w:ascii="Times New Roman" w:eastAsia="宋体" w:hAnsi="Times New Roman" w:cs="Times New Roman"/>
          <w:sz w:val="22"/>
        </w:rPr>
        <w:t xml:space="preserve"> e.g., functionality failure definition, historical monitoring data recording for specific models under</w:t>
      </w:r>
      <w:r w:rsidR="006A2AE2" w:rsidRPr="00B7591E">
        <w:rPr>
          <w:rFonts w:ascii="Times New Roman" w:eastAsia="宋体" w:hAnsi="Times New Roman" w:cs="Times New Roman"/>
          <w:sz w:val="22"/>
        </w:rPr>
        <w:t xml:space="preserve"> the</w:t>
      </w:r>
      <w:r w:rsidR="00CC0AB7" w:rsidRPr="00B7591E">
        <w:rPr>
          <w:rFonts w:ascii="Times New Roman" w:eastAsia="宋体" w:hAnsi="Times New Roman" w:cs="Times New Roman"/>
          <w:sz w:val="22"/>
        </w:rPr>
        <w:t xml:space="preserve"> same functionality, etc.</w:t>
      </w:r>
    </w:p>
    <w:p w14:paraId="36217CE9" w14:textId="77777777" w:rsidR="005A51A7" w:rsidRPr="00B7591E" w:rsidRDefault="005A51A7"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Observation </w:t>
      </w:r>
      <w:r w:rsidR="000A0B64" w:rsidRPr="00B7591E">
        <w:rPr>
          <w:rFonts w:ascii="Times New Roman" w:eastAsia="宋体" w:hAnsi="Times New Roman" w:cs="Times New Roman"/>
          <w:b/>
          <w:bCs/>
          <w:sz w:val="22"/>
        </w:rPr>
        <w:t>1</w:t>
      </w:r>
      <w:r w:rsidRPr="00B7591E">
        <w:rPr>
          <w:rFonts w:ascii="Times New Roman" w:eastAsia="宋体" w:hAnsi="Times New Roman" w:cs="Times New Roman"/>
          <w:b/>
          <w:bCs/>
          <w:sz w:val="22"/>
        </w:rPr>
        <w:t xml:space="preserve"> </w:t>
      </w:r>
      <w:r w:rsidR="000A0B64" w:rsidRPr="00B7591E">
        <w:rPr>
          <w:rFonts w:ascii="Times New Roman" w:eastAsia="宋体" w:hAnsi="Times New Roman" w:cs="Times New Roman"/>
          <w:b/>
          <w:bCs/>
          <w:sz w:val="22"/>
        </w:rPr>
        <w:t>For UE-side positioning use case 1, m</w:t>
      </w:r>
      <w:r w:rsidRPr="00B7591E">
        <w:rPr>
          <w:rFonts w:ascii="Times New Roman" w:eastAsia="宋体" w:hAnsi="Times New Roman" w:cs="Times New Roman"/>
          <w:b/>
          <w:bCs/>
          <w:sz w:val="22"/>
        </w:rPr>
        <w:t xml:space="preserve">odel specific information may need to be reported to NW for functionality monitoring if multiple models are defined under one functionality. </w:t>
      </w:r>
    </w:p>
    <w:p w14:paraId="3DC1BBBB" w14:textId="66E5A7AD" w:rsidR="00083EC9" w:rsidRPr="00B7591E" w:rsidRDefault="00083EC9"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5A1738">
        <w:rPr>
          <w:rFonts w:ascii="Times New Roman" w:eastAsia="宋体" w:hAnsi="Times New Roman" w:cs="Times New Roman" w:hint="eastAsia"/>
          <w:b/>
          <w:bCs/>
          <w:sz w:val="22"/>
        </w:rPr>
        <w:t>9</w:t>
      </w:r>
      <w:r w:rsidRPr="00B7591E">
        <w:rPr>
          <w:rFonts w:ascii="Times New Roman" w:eastAsia="宋体" w:hAnsi="Times New Roman" w:cs="Times New Roman"/>
          <w:b/>
          <w:bCs/>
          <w:sz w:val="22"/>
        </w:rPr>
        <w:t xml:space="preserve"> </w:t>
      </w:r>
      <w:r w:rsidR="005A51A7" w:rsidRPr="00B7591E">
        <w:rPr>
          <w:rFonts w:ascii="Times New Roman" w:eastAsia="宋体" w:hAnsi="Times New Roman" w:cs="Times New Roman"/>
          <w:b/>
          <w:bCs/>
          <w:sz w:val="22"/>
        </w:rPr>
        <w:t xml:space="preserve">For positioning case 1, </w:t>
      </w:r>
      <w:r w:rsidRPr="00B7591E">
        <w:rPr>
          <w:rFonts w:ascii="Times New Roman" w:eastAsia="宋体" w:hAnsi="Times New Roman" w:cs="Times New Roman"/>
          <w:b/>
          <w:bCs/>
          <w:sz w:val="22"/>
        </w:rPr>
        <w:t xml:space="preserve">RAN2 study the </w:t>
      </w:r>
      <w:r w:rsidR="00B7591E" w:rsidRPr="00B7591E">
        <w:rPr>
          <w:rFonts w:ascii="Times New Roman" w:eastAsia="宋体" w:hAnsi="Times New Roman" w:cs="Times New Roman"/>
          <w:b/>
          <w:bCs/>
          <w:sz w:val="22"/>
        </w:rPr>
        <w:t>signaling</w:t>
      </w:r>
      <w:r w:rsidR="005A51A7" w:rsidRPr="00B7591E">
        <w:rPr>
          <w:rFonts w:ascii="Times New Roman" w:eastAsia="宋体" w:hAnsi="Times New Roman" w:cs="Times New Roman"/>
          <w:b/>
          <w:bCs/>
          <w:sz w:val="22"/>
        </w:rPr>
        <w:t xml:space="preserve"> and procedure for model specific information reporting from UE to NW when</w:t>
      </w:r>
      <w:r w:rsidRPr="00B7591E">
        <w:rPr>
          <w:rFonts w:ascii="Times New Roman" w:eastAsia="宋体" w:hAnsi="Times New Roman" w:cs="Times New Roman"/>
          <w:b/>
          <w:bCs/>
          <w:sz w:val="22"/>
        </w:rPr>
        <w:t xml:space="preserve"> multiple models are </w:t>
      </w:r>
      <w:r w:rsidR="005A51A7" w:rsidRPr="00B7591E">
        <w:rPr>
          <w:rFonts w:ascii="Times New Roman" w:eastAsia="宋体" w:hAnsi="Times New Roman" w:cs="Times New Roman"/>
          <w:b/>
          <w:bCs/>
          <w:sz w:val="22"/>
        </w:rPr>
        <w:t xml:space="preserve">defined </w:t>
      </w:r>
      <w:r w:rsidRPr="00B7591E">
        <w:rPr>
          <w:rFonts w:ascii="Times New Roman" w:eastAsia="宋体" w:hAnsi="Times New Roman" w:cs="Times New Roman"/>
          <w:b/>
          <w:bCs/>
          <w:sz w:val="22"/>
        </w:rPr>
        <w:t>under one functionality</w:t>
      </w:r>
      <w:r w:rsidR="005A51A7" w:rsidRPr="00B7591E">
        <w:rPr>
          <w:rFonts w:ascii="Times New Roman" w:eastAsia="宋体" w:hAnsi="Times New Roman" w:cs="Times New Roman"/>
          <w:b/>
          <w:bCs/>
          <w:sz w:val="22"/>
        </w:rPr>
        <w:t>.</w:t>
      </w:r>
    </w:p>
    <w:p w14:paraId="4C4BBA8B" w14:textId="77777777" w:rsidR="00877A98" w:rsidRDefault="00877A98" w:rsidP="00CE36D1">
      <w:pPr>
        <w:pStyle w:val="1"/>
        <w:numPr>
          <w:ilvl w:val="0"/>
          <w:numId w:val="51"/>
        </w:numPr>
        <w:spacing w:before="0" w:after="0" w:line="360" w:lineRule="auto"/>
        <w:jc w:val="both"/>
        <w:rPr>
          <w:rFonts w:eastAsia="宋体"/>
          <w:lang w:eastAsia="zh-CN"/>
        </w:rPr>
      </w:pPr>
      <w:r w:rsidRPr="00B9070A">
        <w:rPr>
          <w:rFonts w:eastAsia="宋体"/>
          <w:lang w:eastAsia="zh-CN"/>
        </w:rPr>
        <w:t>Conclusion</w:t>
      </w:r>
    </w:p>
    <w:p w14:paraId="10403686" w14:textId="77777777" w:rsidR="0058056F" w:rsidRPr="00B7591E" w:rsidRDefault="0058056F"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1 Both gNB and LMF can make monitoring decision for case 3a, the details depend on further RAN1 progress.</w:t>
      </w:r>
    </w:p>
    <w:p w14:paraId="0A7865DC" w14:textId="77777777" w:rsidR="0058056F" w:rsidRPr="00B7591E" w:rsidRDefault="0058056F"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lastRenderedPageBreak/>
        <w:t>Proposal 2 LMF can make monitoring decision for case 3b, RAN2 wait for further RAN1 progress on potential assistance information/data for metrics deriving and decision making of case 3b.</w:t>
      </w:r>
    </w:p>
    <w:p w14:paraId="47E85EB8" w14:textId="77777777" w:rsidR="0058056F" w:rsidRPr="00B7591E" w:rsidRDefault="0058056F"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Proposal 3 For the NW-side models of positioning use cases, no extra specification effort needed for NW-side additional condition used at least for consistency between model training and inference.</w:t>
      </w:r>
    </w:p>
    <w:p w14:paraId="5A993141" w14:textId="489E2A6A" w:rsidR="005A1738" w:rsidRPr="005A1738"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4</w:t>
      </w:r>
      <w:r w:rsidRPr="005A1738">
        <w:rPr>
          <w:rFonts w:ascii="Times New Roman" w:eastAsia="宋体" w:hAnsi="Times New Roman" w:cs="Times New Roman" w:hint="eastAsia"/>
          <w:b/>
          <w:bCs/>
          <w:sz w:val="22"/>
        </w:rPr>
        <w:t xml:space="preserve"> In step 4, both LPP provide </w:t>
      </w:r>
      <w:r w:rsidR="00D93077" w:rsidRPr="005A1738">
        <w:rPr>
          <w:rFonts w:ascii="Times New Roman" w:eastAsia="宋体" w:hAnsi="Times New Roman" w:cs="Times New Roman"/>
          <w:b/>
          <w:bCs/>
          <w:sz w:val="22"/>
        </w:rPr>
        <w:t>capabilities,</w:t>
      </w:r>
      <w:r w:rsidRPr="005A1738">
        <w:rPr>
          <w:rFonts w:ascii="Times New Roman" w:eastAsia="宋体" w:hAnsi="Times New Roman" w:cs="Times New Roman" w:hint="eastAsia"/>
          <w:b/>
          <w:bCs/>
          <w:sz w:val="22"/>
        </w:rPr>
        <w:t xml:space="preserve"> and LPP assistance data messages can be used to report applicability for proactive and reactive reporting.</w:t>
      </w:r>
    </w:p>
    <w:p w14:paraId="42670C13" w14:textId="77777777" w:rsidR="00D93077" w:rsidRDefault="00D93077" w:rsidP="00D93077">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Pr="005A1738">
        <w:rPr>
          <w:rFonts w:ascii="Times New Roman" w:eastAsia="宋体" w:hAnsi="Times New Roman" w:cs="Times New Roman"/>
          <w:b/>
          <w:bCs/>
          <w:sz w:val="22"/>
        </w:rPr>
        <w:t xml:space="preserve">step </w:t>
      </w:r>
      <w:r>
        <w:rPr>
          <w:rFonts w:ascii="Times New Roman" w:eastAsia="宋体" w:hAnsi="Times New Roman" w:cs="Times New Roman" w:hint="eastAsia"/>
          <w:b/>
          <w:bCs/>
          <w:sz w:val="22"/>
        </w:rPr>
        <w:t>3.</w:t>
      </w:r>
    </w:p>
    <w:p w14:paraId="16850F93" w14:textId="77777777" w:rsidR="005A1738" w:rsidRPr="00B7591E"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Pr>
          <w:rFonts w:ascii="Times New Roman" w:eastAsia="宋体" w:hAnsi="Times New Roman" w:cs="Times New Roman" w:hint="eastAsia"/>
          <w:b/>
          <w:bCs/>
          <w:sz w:val="22"/>
        </w:rPr>
        <w:t>6</w:t>
      </w:r>
      <w:r w:rsidRPr="005A1738">
        <w:rPr>
          <w:rFonts w:ascii="Times New Roman" w:eastAsia="宋体" w:hAnsi="Times New Roman" w:cs="Times New Roman" w:hint="eastAsia"/>
          <w:b/>
          <w:bCs/>
          <w:sz w:val="22"/>
        </w:rPr>
        <w:t xml:space="preserve"> UE may decide the contents to be reported via step 4 if no explicit NW configuration is given.</w:t>
      </w:r>
    </w:p>
    <w:p w14:paraId="1C366FE1" w14:textId="2D4FAFAA"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5A1738">
        <w:rPr>
          <w:rFonts w:ascii="Times New Roman" w:eastAsia="宋体" w:hAnsi="Times New Roman" w:cs="Times New Roman" w:hint="eastAsia"/>
          <w:b/>
          <w:bCs/>
          <w:sz w:val="22"/>
        </w:rPr>
        <w:t>7</w:t>
      </w:r>
      <w:r w:rsidRPr="00B7591E">
        <w:rPr>
          <w:rFonts w:ascii="Times New Roman" w:eastAsia="宋体" w:hAnsi="Times New Roman" w:cs="Times New Roman"/>
          <w:b/>
          <w:bCs/>
          <w:sz w:val="22"/>
        </w:rPr>
        <w:t xml:space="preserve"> For detailed design of functionality management, RAN2 wait for RAN1 progress on UE/LMF monitoring options of positioning case 1.</w:t>
      </w:r>
    </w:p>
    <w:p w14:paraId="6F6EDC68" w14:textId="441740BA"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5A1738">
        <w:rPr>
          <w:rFonts w:ascii="Times New Roman" w:eastAsia="宋体" w:hAnsi="Times New Roman" w:cs="Times New Roman" w:hint="eastAsia"/>
          <w:b/>
          <w:bCs/>
          <w:sz w:val="22"/>
        </w:rPr>
        <w:t>8</w:t>
      </w:r>
      <w:r w:rsidRPr="00B7591E">
        <w:rPr>
          <w:rFonts w:ascii="Times New Roman" w:eastAsia="宋体" w:hAnsi="Times New Roman" w:cs="Times New Roman"/>
          <w:b/>
          <w:bCs/>
          <w:sz w:val="22"/>
        </w:rPr>
        <w:t xml:space="preserve"> For positioning case 1, even if UE can calculate the monitoring metrics and make preliminary decisions of the monitoring results, </w:t>
      </w:r>
      <w:r w:rsidR="00B674C4" w:rsidRPr="00B7591E">
        <w:rPr>
          <w:rFonts w:ascii="Times New Roman" w:eastAsia="宋体" w:hAnsi="Times New Roman" w:cs="Times New Roman"/>
          <w:b/>
          <w:bCs/>
          <w:sz w:val="22"/>
        </w:rPr>
        <w:t>final</w:t>
      </w:r>
      <w:r w:rsidRPr="00B7591E">
        <w:rPr>
          <w:rFonts w:ascii="Times New Roman" w:eastAsia="宋体" w:hAnsi="Times New Roman" w:cs="Times New Roman"/>
          <w:b/>
          <w:bCs/>
          <w:sz w:val="22"/>
        </w:rPr>
        <w:t xml:space="preserve"> confirmation from LMF is preferred.</w:t>
      </w:r>
    </w:p>
    <w:p w14:paraId="0B0A818A" w14:textId="77777777" w:rsidR="000A0B64" w:rsidRPr="00B7591E" w:rsidRDefault="000A0B64" w:rsidP="00B7591E">
      <w:pPr>
        <w:spacing w:afterLines="50" w:after="120"/>
        <w:rPr>
          <w:rFonts w:ascii="Times New Roman" w:eastAsia="宋体" w:hAnsi="Times New Roman" w:cs="Times New Roman"/>
          <w:b/>
          <w:bCs/>
          <w:sz w:val="22"/>
        </w:rPr>
      </w:pPr>
      <w:bookmarkStart w:id="10" w:name="OLE_LINK3"/>
      <w:r w:rsidRPr="00B7591E">
        <w:rPr>
          <w:rFonts w:ascii="Times New Roman" w:eastAsia="宋体" w:hAnsi="Times New Roman" w:cs="Times New Roman"/>
          <w:b/>
          <w:bCs/>
          <w:sz w:val="22"/>
        </w:rPr>
        <w:t xml:space="preserve">Observation 1 For UE-side positioning use case 1, model specific information may need to be reported to NW for functionality monitoring if multiple models are defined under one functionality. </w:t>
      </w:r>
    </w:p>
    <w:p w14:paraId="2D183312" w14:textId="45E953FB" w:rsidR="000A0B64" w:rsidRPr="00B7591E" w:rsidRDefault="000A0B64"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5A1738">
        <w:rPr>
          <w:rFonts w:ascii="Times New Roman" w:eastAsia="宋体" w:hAnsi="Times New Roman" w:cs="Times New Roman" w:hint="eastAsia"/>
          <w:b/>
          <w:bCs/>
          <w:sz w:val="22"/>
        </w:rPr>
        <w:t>9</w:t>
      </w:r>
      <w:r w:rsidRPr="00B7591E">
        <w:rPr>
          <w:rFonts w:ascii="Times New Roman" w:eastAsia="宋体" w:hAnsi="Times New Roman" w:cs="Times New Roman"/>
          <w:b/>
          <w:bCs/>
          <w:sz w:val="22"/>
        </w:rPr>
        <w:t xml:space="preserve"> For positioning case 1, RAN2 study the </w:t>
      </w:r>
      <w:r w:rsidR="00B7591E" w:rsidRPr="00B7591E">
        <w:rPr>
          <w:rFonts w:ascii="Times New Roman" w:eastAsia="宋体" w:hAnsi="Times New Roman" w:cs="Times New Roman"/>
          <w:b/>
          <w:bCs/>
          <w:sz w:val="22"/>
        </w:rPr>
        <w:t>signaling</w:t>
      </w:r>
      <w:r w:rsidRPr="00B7591E">
        <w:rPr>
          <w:rFonts w:ascii="Times New Roman" w:eastAsia="宋体" w:hAnsi="Times New Roman" w:cs="Times New Roman"/>
          <w:b/>
          <w:bCs/>
          <w:sz w:val="22"/>
        </w:rPr>
        <w:t xml:space="preserve"> and procedure for model specific information reporting from UE to NW when multiple models are defined under one functionality.</w:t>
      </w:r>
    </w:p>
    <w:p w14:paraId="146C0C43" w14:textId="77777777" w:rsidR="003A534E" w:rsidRPr="000A0B64" w:rsidRDefault="003A534E" w:rsidP="000A0B64">
      <w:pPr>
        <w:pStyle w:val="1"/>
        <w:numPr>
          <w:ilvl w:val="0"/>
          <w:numId w:val="51"/>
        </w:numPr>
        <w:spacing w:before="0" w:after="0" w:line="360" w:lineRule="auto"/>
        <w:jc w:val="both"/>
        <w:rPr>
          <w:rFonts w:eastAsia="宋体"/>
          <w:lang w:eastAsia="zh-CN"/>
        </w:rPr>
      </w:pPr>
      <w:r w:rsidRPr="000A0B64">
        <w:rPr>
          <w:rFonts w:eastAsia="宋体"/>
          <w:lang w:eastAsia="zh-CN"/>
        </w:rPr>
        <w:t>References</w:t>
      </w:r>
    </w:p>
    <w:bookmarkEnd w:id="10"/>
    <w:p w14:paraId="101F2E33" w14:textId="3C7205B3" w:rsidR="0040370B" w:rsidRDefault="0040370B" w:rsidP="0040370B">
      <w:pPr>
        <w:spacing w:line="360" w:lineRule="auto"/>
        <w:rPr>
          <w:rFonts w:ascii="Times New Roman" w:eastAsia="宋体" w:hAnsi="Times New Roman" w:cs="Times New Roman"/>
          <w:sz w:val="22"/>
        </w:rPr>
      </w:pPr>
      <w:r w:rsidRPr="00B7591E">
        <w:rPr>
          <w:rFonts w:ascii="Times New Roman" w:eastAsia="宋体" w:hAnsi="Times New Roman" w:cs="Times New Roman"/>
          <w:sz w:val="22"/>
        </w:rPr>
        <w:t>[</w:t>
      </w:r>
      <w:r w:rsidR="00CE36D1" w:rsidRPr="00B7591E">
        <w:rPr>
          <w:rFonts w:ascii="Times New Roman" w:eastAsia="宋体" w:hAnsi="Times New Roman" w:cs="Times New Roman"/>
          <w:sz w:val="22"/>
        </w:rPr>
        <w:t>1</w:t>
      </w:r>
      <w:r w:rsidRPr="00B7591E">
        <w:rPr>
          <w:rFonts w:ascii="Times New Roman" w:eastAsia="宋体" w:hAnsi="Times New Roman" w:cs="Times New Roman"/>
          <w:sz w:val="22"/>
        </w:rPr>
        <w:t>] RAN2 meeting Chair Note, 3GPP TSG RAN WG2 Meeting #12</w:t>
      </w:r>
      <w:r w:rsidR="005A1738">
        <w:rPr>
          <w:rFonts w:ascii="Times New Roman" w:eastAsia="宋体" w:hAnsi="Times New Roman" w:cs="Times New Roman" w:hint="eastAsia"/>
          <w:sz w:val="22"/>
        </w:rPr>
        <w:t>7</w:t>
      </w:r>
      <w:r w:rsidR="00B42DD9" w:rsidRPr="00B7591E">
        <w:rPr>
          <w:rFonts w:ascii="Times New Roman" w:eastAsia="宋体" w:hAnsi="Times New Roman" w:cs="Times New Roman"/>
          <w:sz w:val="22"/>
        </w:rPr>
        <w:t>bis</w:t>
      </w:r>
      <w:r w:rsidRPr="00B7591E">
        <w:rPr>
          <w:rFonts w:ascii="Times New Roman" w:eastAsia="宋体" w:hAnsi="Times New Roman" w:cs="Times New Roman"/>
          <w:sz w:val="22"/>
        </w:rPr>
        <w:t>, 202</w:t>
      </w:r>
      <w:r w:rsidR="00B42DD9" w:rsidRPr="00B7591E">
        <w:rPr>
          <w:rFonts w:ascii="Times New Roman" w:eastAsia="宋体" w:hAnsi="Times New Roman" w:cs="Times New Roman"/>
          <w:sz w:val="22"/>
        </w:rPr>
        <w:t>4</w:t>
      </w:r>
      <w:r w:rsidRPr="00B7591E">
        <w:rPr>
          <w:rFonts w:ascii="Times New Roman" w:eastAsia="宋体" w:hAnsi="Times New Roman" w:cs="Times New Roman"/>
          <w:sz w:val="22"/>
        </w:rPr>
        <w:t>.</w:t>
      </w:r>
    </w:p>
    <w:p w14:paraId="173C156C" w14:textId="792370A1" w:rsidR="0040370B" w:rsidRPr="00B7591E" w:rsidRDefault="006A3CE5" w:rsidP="006A3CE5">
      <w:pPr>
        <w:spacing w:line="360" w:lineRule="auto"/>
        <w:rPr>
          <w:rFonts w:ascii="Times New Roman" w:eastAsia="宋体" w:hAnsi="Times New Roman" w:cs="Times New Roman"/>
          <w:sz w:val="22"/>
        </w:rPr>
      </w:pPr>
      <w:r w:rsidRPr="00B7591E">
        <w:rPr>
          <w:rFonts w:ascii="Times New Roman" w:eastAsia="等线" w:hAnsi="Times New Roman" w:cs="Times New Roman"/>
          <w:sz w:val="22"/>
        </w:rPr>
        <w:t>[</w:t>
      </w:r>
      <w:r>
        <w:rPr>
          <w:rFonts w:ascii="Times New Roman" w:eastAsia="等线" w:hAnsi="Times New Roman" w:cs="Times New Roman" w:hint="eastAsia"/>
          <w:sz w:val="22"/>
        </w:rPr>
        <w:t>2</w:t>
      </w:r>
      <w:r w:rsidRPr="00B7591E">
        <w:rPr>
          <w:rFonts w:ascii="Times New Roman" w:eastAsia="等线" w:hAnsi="Times New Roman" w:cs="Times New Roman"/>
          <w:sz w:val="22"/>
        </w:rPr>
        <w:t>]</w:t>
      </w:r>
      <w:r w:rsidRPr="006A3CE5">
        <w:rPr>
          <w:rFonts w:ascii="Times New Roman" w:eastAsia="宋体" w:hAnsi="Times New Roman" w:cs="Times New Roman"/>
          <w:sz w:val="22"/>
        </w:rPr>
        <w:t xml:space="preserve"> </w:t>
      </w:r>
      <w:r w:rsidRPr="00B7591E">
        <w:rPr>
          <w:rFonts w:ascii="Times New Roman" w:eastAsia="宋体" w:hAnsi="Times New Roman" w:cs="Times New Roman"/>
          <w:sz w:val="22"/>
        </w:rPr>
        <w:t>RAN2 meeting Chair Note, 3GPP TSG RAN WG2 Meeting #12</w:t>
      </w:r>
      <w:r>
        <w:rPr>
          <w:rFonts w:ascii="Times New Roman" w:eastAsia="宋体" w:hAnsi="Times New Roman" w:cs="Times New Roman" w:hint="eastAsia"/>
          <w:sz w:val="22"/>
        </w:rPr>
        <w:t>5</w:t>
      </w:r>
      <w:r w:rsidRPr="00B7591E">
        <w:rPr>
          <w:rFonts w:ascii="Times New Roman" w:eastAsia="宋体" w:hAnsi="Times New Roman" w:cs="Times New Roman"/>
          <w:sz w:val="22"/>
        </w:rPr>
        <w:t>bis, 2024.</w:t>
      </w:r>
    </w:p>
    <w:sectPr w:rsidR="0040370B" w:rsidRPr="00B7591E" w:rsidSect="007327D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DA0FD" w14:textId="77777777" w:rsidR="000A5287" w:rsidRDefault="000A5287">
      <w:pPr>
        <w:rPr>
          <w:rFonts w:hint="eastAsia"/>
        </w:rPr>
      </w:pPr>
      <w:r>
        <w:separator/>
      </w:r>
    </w:p>
  </w:endnote>
  <w:endnote w:type="continuationSeparator" w:id="0">
    <w:p w14:paraId="53FB4659" w14:textId="77777777" w:rsidR="000A5287" w:rsidRDefault="000A52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92799"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E7BD1" w14:textId="77777777" w:rsidR="000A5287" w:rsidRDefault="000A5287">
      <w:pPr>
        <w:rPr>
          <w:rFonts w:hint="eastAsia"/>
        </w:rPr>
      </w:pPr>
      <w:r>
        <w:separator/>
      </w:r>
    </w:p>
  </w:footnote>
  <w:footnote w:type="continuationSeparator" w:id="0">
    <w:p w14:paraId="7252B8EA" w14:textId="77777777" w:rsidR="000A5287" w:rsidRDefault="000A528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950212"/>
    <w:multiLevelType w:val="hybridMultilevel"/>
    <w:tmpl w:val="1A7422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640BC0"/>
    <w:multiLevelType w:val="hybridMultilevel"/>
    <w:tmpl w:val="0B3A1944"/>
    <w:lvl w:ilvl="0" w:tplc="0A5CD2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5C1647D"/>
    <w:multiLevelType w:val="hybridMultilevel"/>
    <w:tmpl w:val="C14064D0"/>
    <w:lvl w:ilvl="0" w:tplc="587879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9DC7783"/>
    <w:multiLevelType w:val="multilevel"/>
    <w:tmpl w:val="C5689C7C"/>
    <w:lvl w:ilvl="0">
      <w:start w:val="1"/>
      <w:numFmt w:val="decimal"/>
      <w:lvlText w:val="%1."/>
      <w:lvlJc w:val="left"/>
      <w:pPr>
        <w:ind w:left="360" w:hanging="360"/>
      </w:pPr>
      <w:rPr>
        <w:rFonts w:eastAsia="等线"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9631B"/>
    <w:multiLevelType w:val="hybridMultilevel"/>
    <w:tmpl w:val="9BEAEE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202"/>
        </w:tabs>
        <w:ind w:left="6805"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FD7787"/>
    <w:multiLevelType w:val="hybridMultilevel"/>
    <w:tmpl w:val="78BE7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E32917"/>
    <w:multiLevelType w:val="hybridMultilevel"/>
    <w:tmpl w:val="45CAA7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7315C7"/>
    <w:multiLevelType w:val="hybridMultilevel"/>
    <w:tmpl w:val="8A7C27CE"/>
    <w:lvl w:ilvl="0" w:tplc="25A81C0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951467"/>
    <w:multiLevelType w:val="hybridMultilevel"/>
    <w:tmpl w:val="D09476E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4E422C"/>
    <w:multiLevelType w:val="hybridMultilevel"/>
    <w:tmpl w:val="C994E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1" w15:restartNumberingAfterBreak="0">
    <w:nsid w:val="543E151D"/>
    <w:multiLevelType w:val="hybridMultilevel"/>
    <w:tmpl w:val="46FEF75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977622B"/>
    <w:multiLevelType w:val="hybridMultilevel"/>
    <w:tmpl w:val="8340B438"/>
    <w:lvl w:ilvl="0" w:tplc="F99ED8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F744B"/>
    <w:multiLevelType w:val="hybridMultilevel"/>
    <w:tmpl w:val="7B223560"/>
    <w:lvl w:ilvl="0" w:tplc="3AE6F7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F96C88"/>
    <w:multiLevelType w:val="hybridMultilevel"/>
    <w:tmpl w:val="EEF261D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0"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522C4A"/>
    <w:multiLevelType w:val="hybridMultilevel"/>
    <w:tmpl w:val="9672F7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0531256">
    <w:abstractNumId w:val="11"/>
  </w:num>
  <w:num w:numId="2" w16cid:durableId="773206535">
    <w:abstractNumId w:val="20"/>
  </w:num>
  <w:num w:numId="3" w16cid:durableId="1641153429">
    <w:abstractNumId w:val="21"/>
  </w:num>
  <w:num w:numId="4" w16cid:durableId="520558146">
    <w:abstractNumId w:val="42"/>
  </w:num>
  <w:num w:numId="5" w16cid:durableId="250744107">
    <w:abstractNumId w:val="40"/>
  </w:num>
  <w:num w:numId="6" w16cid:durableId="1817796962">
    <w:abstractNumId w:val="25"/>
  </w:num>
  <w:num w:numId="7" w16cid:durableId="1137839879">
    <w:abstractNumId w:val="30"/>
  </w:num>
  <w:num w:numId="8" w16cid:durableId="739866813">
    <w:abstractNumId w:val="11"/>
  </w:num>
  <w:num w:numId="9" w16cid:durableId="1138911000">
    <w:abstractNumId w:val="11"/>
  </w:num>
  <w:num w:numId="10" w16cid:durableId="1249535735">
    <w:abstractNumId w:val="11"/>
  </w:num>
  <w:num w:numId="11" w16cid:durableId="1758283218">
    <w:abstractNumId w:val="14"/>
  </w:num>
  <w:num w:numId="12" w16cid:durableId="1360545784">
    <w:abstractNumId w:val="18"/>
  </w:num>
  <w:num w:numId="13" w16cid:durableId="1072585802">
    <w:abstractNumId w:val="27"/>
  </w:num>
  <w:num w:numId="14" w16cid:durableId="1182815016">
    <w:abstractNumId w:val="39"/>
  </w:num>
  <w:num w:numId="15" w16cid:durableId="2070953257">
    <w:abstractNumId w:val="13"/>
  </w:num>
  <w:num w:numId="16" w16cid:durableId="2087418334">
    <w:abstractNumId w:val="24"/>
  </w:num>
  <w:num w:numId="17" w16cid:durableId="45371752">
    <w:abstractNumId w:val="32"/>
  </w:num>
  <w:num w:numId="18" w16cid:durableId="1100833891">
    <w:abstractNumId w:val="40"/>
  </w:num>
  <w:num w:numId="19" w16cid:durableId="2143963398">
    <w:abstractNumId w:val="0"/>
  </w:num>
  <w:num w:numId="20" w16cid:durableId="526916136">
    <w:abstractNumId w:val="7"/>
  </w:num>
  <w:num w:numId="21" w16cid:durableId="740523364">
    <w:abstractNumId w:val="15"/>
  </w:num>
  <w:num w:numId="22" w16cid:durableId="736822745">
    <w:abstractNumId w:val="8"/>
  </w:num>
  <w:num w:numId="23" w16cid:durableId="2054891158">
    <w:abstractNumId w:val="16"/>
  </w:num>
  <w:num w:numId="24" w16cid:durableId="230240623">
    <w:abstractNumId w:val="23"/>
  </w:num>
  <w:num w:numId="25" w16cid:durableId="777598912">
    <w:abstractNumId w:val="10"/>
  </w:num>
  <w:num w:numId="26" w16cid:durableId="155651649">
    <w:abstractNumId w:val="1"/>
  </w:num>
  <w:num w:numId="27" w16cid:durableId="260649440">
    <w:abstractNumId w:val="36"/>
  </w:num>
  <w:num w:numId="28" w16cid:durableId="275870020">
    <w:abstractNumId w:val="38"/>
  </w:num>
  <w:num w:numId="29" w16cid:durableId="150021896">
    <w:abstractNumId w:val="5"/>
  </w:num>
  <w:num w:numId="30" w16cid:durableId="168639848">
    <w:abstractNumId w:val="19"/>
  </w:num>
  <w:num w:numId="31" w16cid:durableId="111940661">
    <w:abstractNumId w:val="29"/>
  </w:num>
  <w:num w:numId="32" w16cid:durableId="171881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3768260">
    <w:abstractNumId w:val="11"/>
  </w:num>
  <w:num w:numId="34" w16cid:durableId="1713725116">
    <w:abstractNumId w:val="11"/>
  </w:num>
  <w:num w:numId="35" w16cid:durableId="281689612">
    <w:abstractNumId w:val="11"/>
  </w:num>
  <w:num w:numId="36" w16cid:durableId="280040728">
    <w:abstractNumId w:val="34"/>
  </w:num>
  <w:num w:numId="37" w16cid:durableId="1705330939">
    <w:abstractNumId w:val="33"/>
  </w:num>
  <w:num w:numId="38" w16cid:durableId="2048337559">
    <w:abstractNumId w:val="37"/>
  </w:num>
  <w:num w:numId="39" w16cid:durableId="920528158">
    <w:abstractNumId w:val="28"/>
  </w:num>
  <w:num w:numId="40" w16cid:durableId="430391940">
    <w:abstractNumId w:val="17"/>
  </w:num>
  <w:num w:numId="41" w16cid:durableId="15008747">
    <w:abstractNumId w:val="9"/>
  </w:num>
  <w:num w:numId="42" w16cid:durableId="1995602731">
    <w:abstractNumId w:val="2"/>
  </w:num>
  <w:num w:numId="43" w16cid:durableId="1942832272">
    <w:abstractNumId w:val="11"/>
  </w:num>
  <w:num w:numId="44" w16cid:durableId="95561810">
    <w:abstractNumId w:val="11"/>
  </w:num>
  <w:num w:numId="45" w16cid:durableId="410782592">
    <w:abstractNumId w:val="11"/>
  </w:num>
  <w:num w:numId="46" w16cid:durableId="1361586508">
    <w:abstractNumId w:val="41"/>
  </w:num>
  <w:num w:numId="47" w16cid:durableId="286011943">
    <w:abstractNumId w:val="4"/>
  </w:num>
  <w:num w:numId="48" w16cid:durableId="1252853068">
    <w:abstractNumId w:val="3"/>
  </w:num>
  <w:num w:numId="49" w16cid:durableId="1962375568">
    <w:abstractNumId w:val="12"/>
  </w:num>
  <w:num w:numId="50" w16cid:durableId="1667316162">
    <w:abstractNumId w:val="35"/>
  </w:num>
  <w:num w:numId="51" w16cid:durableId="139999410">
    <w:abstractNumId w:val="6"/>
  </w:num>
  <w:num w:numId="52" w16cid:durableId="932208839">
    <w:abstractNumId w:val="26"/>
  </w:num>
  <w:num w:numId="53" w16cid:durableId="11346511">
    <w:abstractNumId w:val="31"/>
  </w:num>
  <w:num w:numId="54" w16cid:durableId="207214735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6A6"/>
    <w:rsid w:val="00003E35"/>
    <w:rsid w:val="00003EFF"/>
    <w:rsid w:val="00003FE4"/>
    <w:rsid w:val="000046FC"/>
    <w:rsid w:val="000049E6"/>
    <w:rsid w:val="000052A1"/>
    <w:rsid w:val="0000595A"/>
    <w:rsid w:val="000059BB"/>
    <w:rsid w:val="000059D0"/>
    <w:rsid w:val="00005A8E"/>
    <w:rsid w:val="00005B55"/>
    <w:rsid w:val="0000607C"/>
    <w:rsid w:val="000063C5"/>
    <w:rsid w:val="00006F04"/>
    <w:rsid w:val="00006F86"/>
    <w:rsid w:val="00007109"/>
    <w:rsid w:val="0001065C"/>
    <w:rsid w:val="000116BD"/>
    <w:rsid w:val="00011D82"/>
    <w:rsid w:val="00012217"/>
    <w:rsid w:val="000122DC"/>
    <w:rsid w:val="00012B53"/>
    <w:rsid w:val="000131B5"/>
    <w:rsid w:val="00013490"/>
    <w:rsid w:val="00013738"/>
    <w:rsid w:val="00013AB6"/>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3EC9"/>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612A"/>
    <w:rsid w:val="000967AD"/>
    <w:rsid w:val="000969DF"/>
    <w:rsid w:val="00096A49"/>
    <w:rsid w:val="00096CB5"/>
    <w:rsid w:val="000972D6"/>
    <w:rsid w:val="00097332"/>
    <w:rsid w:val="000973F5"/>
    <w:rsid w:val="00097608"/>
    <w:rsid w:val="0009783A"/>
    <w:rsid w:val="00097C02"/>
    <w:rsid w:val="00097E38"/>
    <w:rsid w:val="00097F90"/>
    <w:rsid w:val="000A016B"/>
    <w:rsid w:val="000A084A"/>
    <w:rsid w:val="000A0B64"/>
    <w:rsid w:val="000A1525"/>
    <w:rsid w:val="000A2529"/>
    <w:rsid w:val="000A257C"/>
    <w:rsid w:val="000A2843"/>
    <w:rsid w:val="000A28EF"/>
    <w:rsid w:val="000A353E"/>
    <w:rsid w:val="000A3632"/>
    <w:rsid w:val="000A3954"/>
    <w:rsid w:val="000A3BC9"/>
    <w:rsid w:val="000A471D"/>
    <w:rsid w:val="000A4EFA"/>
    <w:rsid w:val="000A514D"/>
    <w:rsid w:val="000A5151"/>
    <w:rsid w:val="000A5287"/>
    <w:rsid w:val="000A53D5"/>
    <w:rsid w:val="000A5594"/>
    <w:rsid w:val="000A579D"/>
    <w:rsid w:val="000A5B15"/>
    <w:rsid w:val="000A5BE9"/>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B9A"/>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BD7"/>
    <w:rsid w:val="000C3D1C"/>
    <w:rsid w:val="000C4338"/>
    <w:rsid w:val="000C440D"/>
    <w:rsid w:val="000C4D56"/>
    <w:rsid w:val="000C5277"/>
    <w:rsid w:val="000C55DA"/>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921"/>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1D9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212"/>
    <w:rsid w:val="001508B7"/>
    <w:rsid w:val="00151161"/>
    <w:rsid w:val="0015196F"/>
    <w:rsid w:val="001519AE"/>
    <w:rsid w:val="00152370"/>
    <w:rsid w:val="00152404"/>
    <w:rsid w:val="00152BC7"/>
    <w:rsid w:val="00152DAB"/>
    <w:rsid w:val="00153D2C"/>
    <w:rsid w:val="0015424E"/>
    <w:rsid w:val="00154806"/>
    <w:rsid w:val="0015491B"/>
    <w:rsid w:val="00154AB2"/>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339"/>
    <w:rsid w:val="001844B4"/>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0C"/>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9B9"/>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2A6"/>
    <w:rsid w:val="001C062A"/>
    <w:rsid w:val="001C1BB3"/>
    <w:rsid w:val="001C1C0D"/>
    <w:rsid w:val="001C23E8"/>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26E"/>
    <w:rsid w:val="001D04ED"/>
    <w:rsid w:val="001D0A03"/>
    <w:rsid w:val="001D0A48"/>
    <w:rsid w:val="001D1402"/>
    <w:rsid w:val="001D1598"/>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1F35"/>
    <w:rsid w:val="001E2050"/>
    <w:rsid w:val="001E25C6"/>
    <w:rsid w:val="001E325B"/>
    <w:rsid w:val="001E36E8"/>
    <w:rsid w:val="001E399C"/>
    <w:rsid w:val="001E3ABE"/>
    <w:rsid w:val="001E3B64"/>
    <w:rsid w:val="001E4374"/>
    <w:rsid w:val="001E45BD"/>
    <w:rsid w:val="001E47C9"/>
    <w:rsid w:val="001E4987"/>
    <w:rsid w:val="001E52DD"/>
    <w:rsid w:val="001E5665"/>
    <w:rsid w:val="001E584E"/>
    <w:rsid w:val="001E5B94"/>
    <w:rsid w:val="001E5BDD"/>
    <w:rsid w:val="001E5D78"/>
    <w:rsid w:val="001E6BE7"/>
    <w:rsid w:val="001E71A9"/>
    <w:rsid w:val="001E7472"/>
    <w:rsid w:val="001E74A4"/>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734"/>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A2A"/>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260"/>
    <w:rsid w:val="002409DE"/>
    <w:rsid w:val="0024109A"/>
    <w:rsid w:val="0024120C"/>
    <w:rsid w:val="00241443"/>
    <w:rsid w:val="0024144F"/>
    <w:rsid w:val="002415BD"/>
    <w:rsid w:val="00241962"/>
    <w:rsid w:val="002424C4"/>
    <w:rsid w:val="00243513"/>
    <w:rsid w:val="002435C3"/>
    <w:rsid w:val="0024389E"/>
    <w:rsid w:val="00243F07"/>
    <w:rsid w:val="00244C32"/>
    <w:rsid w:val="00245132"/>
    <w:rsid w:val="002454B7"/>
    <w:rsid w:val="00245720"/>
    <w:rsid w:val="00245814"/>
    <w:rsid w:val="002458BE"/>
    <w:rsid w:val="00245C2A"/>
    <w:rsid w:val="00245CCE"/>
    <w:rsid w:val="0024629E"/>
    <w:rsid w:val="00246333"/>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DC4"/>
    <w:rsid w:val="00262E3A"/>
    <w:rsid w:val="00263628"/>
    <w:rsid w:val="002637C2"/>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A7B"/>
    <w:rsid w:val="00271B8E"/>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54F"/>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0339"/>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82F"/>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F6"/>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24"/>
    <w:rsid w:val="003343B0"/>
    <w:rsid w:val="00334438"/>
    <w:rsid w:val="00334C56"/>
    <w:rsid w:val="0033529C"/>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1DA1"/>
    <w:rsid w:val="003520BC"/>
    <w:rsid w:val="00352251"/>
    <w:rsid w:val="003527B2"/>
    <w:rsid w:val="003529B8"/>
    <w:rsid w:val="00352B1F"/>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78"/>
    <w:rsid w:val="00360EE1"/>
    <w:rsid w:val="003610D3"/>
    <w:rsid w:val="00361BA2"/>
    <w:rsid w:val="00361FE0"/>
    <w:rsid w:val="003621A3"/>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B82"/>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38F"/>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70B"/>
    <w:rsid w:val="00403FFE"/>
    <w:rsid w:val="0040416A"/>
    <w:rsid w:val="004050E9"/>
    <w:rsid w:val="00405263"/>
    <w:rsid w:val="0040536B"/>
    <w:rsid w:val="00405374"/>
    <w:rsid w:val="00405597"/>
    <w:rsid w:val="004057EE"/>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655"/>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2AD"/>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1B0"/>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31DE"/>
    <w:rsid w:val="004636ED"/>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2F24"/>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6F34"/>
    <w:rsid w:val="00497015"/>
    <w:rsid w:val="004970AA"/>
    <w:rsid w:val="00497481"/>
    <w:rsid w:val="00497720"/>
    <w:rsid w:val="00497877"/>
    <w:rsid w:val="004979AB"/>
    <w:rsid w:val="00497A37"/>
    <w:rsid w:val="00497F51"/>
    <w:rsid w:val="004A06A8"/>
    <w:rsid w:val="004A0A2F"/>
    <w:rsid w:val="004A0B80"/>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21"/>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43F"/>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56C"/>
    <w:rsid w:val="004E6B02"/>
    <w:rsid w:val="004E76F5"/>
    <w:rsid w:val="004F0076"/>
    <w:rsid w:val="004F04E9"/>
    <w:rsid w:val="004F0C43"/>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056F"/>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738"/>
    <w:rsid w:val="005A186A"/>
    <w:rsid w:val="005A19A2"/>
    <w:rsid w:val="005A1AF7"/>
    <w:rsid w:val="005A1B4F"/>
    <w:rsid w:val="005A1EDF"/>
    <w:rsid w:val="005A20F6"/>
    <w:rsid w:val="005A2454"/>
    <w:rsid w:val="005A2A9B"/>
    <w:rsid w:val="005A369F"/>
    <w:rsid w:val="005A3A9C"/>
    <w:rsid w:val="005A3CCD"/>
    <w:rsid w:val="005A3EF5"/>
    <w:rsid w:val="005A4F0D"/>
    <w:rsid w:val="005A51A7"/>
    <w:rsid w:val="005A62E8"/>
    <w:rsid w:val="005A64BF"/>
    <w:rsid w:val="005A64F5"/>
    <w:rsid w:val="005A6AD0"/>
    <w:rsid w:val="005A6C32"/>
    <w:rsid w:val="005A6C9E"/>
    <w:rsid w:val="005A6E6F"/>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20B"/>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DB4"/>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5EED"/>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B37"/>
    <w:rsid w:val="00602C07"/>
    <w:rsid w:val="006034A7"/>
    <w:rsid w:val="0060380F"/>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4439"/>
    <w:rsid w:val="0061448A"/>
    <w:rsid w:val="00614850"/>
    <w:rsid w:val="00614F00"/>
    <w:rsid w:val="0061502F"/>
    <w:rsid w:val="0061557A"/>
    <w:rsid w:val="0061574F"/>
    <w:rsid w:val="0061580A"/>
    <w:rsid w:val="006159E4"/>
    <w:rsid w:val="006159F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600"/>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666"/>
    <w:rsid w:val="0065692A"/>
    <w:rsid w:val="00656E70"/>
    <w:rsid w:val="00657754"/>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CD9"/>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0F27"/>
    <w:rsid w:val="006A1313"/>
    <w:rsid w:val="006A1459"/>
    <w:rsid w:val="006A168D"/>
    <w:rsid w:val="006A1830"/>
    <w:rsid w:val="006A2AE2"/>
    <w:rsid w:val="006A2F55"/>
    <w:rsid w:val="006A3056"/>
    <w:rsid w:val="006A35BD"/>
    <w:rsid w:val="006A3629"/>
    <w:rsid w:val="006A369C"/>
    <w:rsid w:val="006A3874"/>
    <w:rsid w:val="006A395C"/>
    <w:rsid w:val="006A3AE8"/>
    <w:rsid w:val="006A3CE5"/>
    <w:rsid w:val="006A3D85"/>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7D3"/>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764"/>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4E73"/>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63F"/>
    <w:rsid w:val="007579AC"/>
    <w:rsid w:val="007579F2"/>
    <w:rsid w:val="00757C45"/>
    <w:rsid w:val="00757F71"/>
    <w:rsid w:val="007605E9"/>
    <w:rsid w:val="00760D0C"/>
    <w:rsid w:val="007619AD"/>
    <w:rsid w:val="00761B58"/>
    <w:rsid w:val="00761F36"/>
    <w:rsid w:val="00762629"/>
    <w:rsid w:val="0076296A"/>
    <w:rsid w:val="00762DFA"/>
    <w:rsid w:val="00762E47"/>
    <w:rsid w:val="00764778"/>
    <w:rsid w:val="00764ECF"/>
    <w:rsid w:val="0076531A"/>
    <w:rsid w:val="00765421"/>
    <w:rsid w:val="0076546D"/>
    <w:rsid w:val="007655E9"/>
    <w:rsid w:val="00765864"/>
    <w:rsid w:val="0076586E"/>
    <w:rsid w:val="007659DD"/>
    <w:rsid w:val="0076622C"/>
    <w:rsid w:val="00766479"/>
    <w:rsid w:val="007665A7"/>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4FDD"/>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E7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0ED"/>
    <w:rsid w:val="007B692F"/>
    <w:rsid w:val="007B6C73"/>
    <w:rsid w:val="007B6FFB"/>
    <w:rsid w:val="007B70AA"/>
    <w:rsid w:val="007B74A3"/>
    <w:rsid w:val="007B75FE"/>
    <w:rsid w:val="007B7756"/>
    <w:rsid w:val="007B7937"/>
    <w:rsid w:val="007B7F8A"/>
    <w:rsid w:val="007C0166"/>
    <w:rsid w:val="007C02F8"/>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0E8"/>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A8E"/>
    <w:rsid w:val="007F2CE5"/>
    <w:rsid w:val="007F3099"/>
    <w:rsid w:val="007F3EA1"/>
    <w:rsid w:val="007F43AF"/>
    <w:rsid w:val="007F43C5"/>
    <w:rsid w:val="007F44EB"/>
    <w:rsid w:val="007F54DC"/>
    <w:rsid w:val="007F5C28"/>
    <w:rsid w:val="007F5C2E"/>
    <w:rsid w:val="007F5C51"/>
    <w:rsid w:val="007F614A"/>
    <w:rsid w:val="007F6371"/>
    <w:rsid w:val="007F6495"/>
    <w:rsid w:val="007F6689"/>
    <w:rsid w:val="007F677D"/>
    <w:rsid w:val="007F6F05"/>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8A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5DE5"/>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17CDA"/>
    <w:rsid w:val="008200C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6B5"/>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677"/>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C8"/>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BC"/>
    <w:rsid w:val="008667E2"/>
    <w:rsid w:val="00866B4D"/>
    <w:rsid w:val="00866BCC"/>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064"/>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18"/>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9BA"/>
    <w:rsid w:val="008E4C0D"/>
    <w:rsid w:val="008E54F5"/>
    <w:rsid w:val="008E5A0F"/>
    <w:rsid w:val="008E5D59"/>
    <w:rsid w:val="008E61D1"/>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671"/>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E10"/>
    <w:rsid w:val="009271B9"/>
    <w:rsid w:val="00927627"/>
    <w:rsid w:val="00927855"/>
    <w:rsid w:val="009279D4"/>
    <w:rsid w:val="00927A58"/>
    <w:rsid w:val="0093032D"/>
    <w:rsid w:val="0093035B"/>
    <w:rsid w:val="0093046F"/>
    <w:rsid w:val="0093061F"/>
    <w:rsid w:val="009308E3"/>
    <w:rsid w:val="00930A38"/>
    <w:rsid w:val="00930E09"/>
    <w:rsid w:val="00930EA6"/>
    <w:rsid w:val="0093133D"/>
    <w:rsid w:val="009317C3"/>
    <w:rsid w:val="009328B9"/>
    <w:rsid w:val="009328BD"/>
    <w:rsid w:val="00932CDA"/>
    <w:rsid w:val="00932FB7"/>
    <w:rsid w:val="009331DB"/>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4ACA"/>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7B9"/>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29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264"/>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202"/>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DB"/>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908"/>
    <w:rsid w:val="009D5C88"/>
    <w:rsid w:val="009D6102"/>
    <w:rsid w:val="009D61BE"/>
    <w:rsid w:val="009D6DE1"/>
    <w:rsid w:val="009D6EB2"/>
    <w:rsid w:val="009D79CF"/>
    <w:rsid w:val="009D7C33"/>
    <w:rsid w:val="009D7E3A"/>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D9D"/>
    <w:rsid w:val="009F4015"/>
    <w:rsid w:val="009F43A8"/>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74"/>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75"/>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37A63"/>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5827"/>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C4"/>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75D"/>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8B"/>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03C"/>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833"/>
    <w:rsid w:val="00AB7A79"/>
    <w:rsid w:val="00AB7D9B"/>
    <w:rsid w:val="00AB7FB2"/>
    <w:rsid w:val="00AC03D4"/>
    <w:rsid w:val="00AC0459"/>
    <w:rsid w:val="00AC0B51"/>
    <w:rsid w:val="00AC0CA0"/>
    <w:rsid w:val="00AC111E"/>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38A"/>
    <w:rsid w:val="00AC66FB"/>
    <w:rsid w:val="00AC68DA"/>
    <w:rsid w:val="00AC691A"/>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FE3"/>
    <w:rsid w:val="00AD4364"/>
    <w:rsid w:val="00AD4C22"/>
    <w:rsid w:val="00AD52C1"/>
    <w:rsid w:val="00AD57DD"/>
    <w:rsid w:val="00AD603F"/>
    <w:rsid w:val="00AD60A2"/>
    <w:rsid w:val="00AD6160"/>
    <w:rsid w:val="00AD6249"/>
    <w:rsid w:val="00AD6743"/>
    <w:rsid w:val="00AD6F38"/>
    <w:rsid w:val="00AD7024"/>
    <w:rsid w:val="00AE00CD"/>
    <w:rsid w:val="00AE01AA"/>
    <w:rsid w:val="00AE01CC"/>
    <w:rsid w:val="00AE0651"/>
    <w:rsid w:val="00AE081A"/>
    <w:rsid w:val="00AE0882"/>
    <w:rsid w:val="00AE0D11"/>
    <w:rsid w:val="00AE0DD0"/>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455"/>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1F6"/>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5EB7"/>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2DD9"/>
    <w:rsid w:val="00B43516"/>
    <w:rsid w:val="00B437D3"/>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4C4"/>
    <w:rsid w:val="00B67942"/>
    <w:rsid w:val="00B67CD4"/>
    <w:rsid w:val="00B67E58"/>
    <w:rsid w:val="00B67FCD"/>
    <w:rsid w:val="00B71A99"/>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076"/>
    <w:rsid w:val="00B7516D"/>
    <w:rsid w:val="00B751C2"/>
    <w:rsid w:val="00B7527A"/>
    <w:rsid w:val="00B7545C"/>
    <w:rsid w:val="00B754FF"/>
    <w:rsid w:val="00B7556E"/>
    <w:rsid w:val="00B7591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25D4"/>
    <w:rsid w:val="00B9306E"/>
    <w:rsid w:val="00B931E8"/>
    <w:rsid w:val="00B93299"/>
    <w:rsid w:val="00B936FF"/>
    <w:rsid w:val="00B93936"/>
    <w:rsid w:val="00B93B90"/>
    <w:rsid w:val="00B93D50"/>
    <w:rsid w:val="00B93EAB"/>
    <w:rsid w:val="00B94204"/>
    <w:rsid w:val="00B9429D"/>
    <w:rsid w:val="00B94EC4"/>
    <w:rsid w:val="00B958D8"/>
    <w:rsid w:val="00B95E0B"/>
    <w:rsid w:val="00B9601E"/>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282"/>
    <w:rsid w:val="00BA4619"/>
    <w:rsid w:val="00BA465C"/>
    <w:rsid w:val="00BA497A"/>
    <w:rsid w:val="00BA5438"/>
    <w:rsid w:val="00BA55DD"/>
    <w:rsid w:val="00BA5950"/>
    <w:rsid w:val="00BA5A6D"/>
    <w:rsid w:val="00BA611B"/>
    <w:rsid w:val="00BA63C9"/>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5D9"/>
    <w:rsid w:val="00BB4621"/>
    <w:rsid w:val="00BB4A7F"/>
    <w:rsid w:val="00BB50F1"/>
    <w:rsid w:val="00BB6C1E"/>
    <w:rsid w:val="00BB6CC8"/>
    <w:rsid w:val="00BB70E7"/>
    <w:rsid w:val="00BB713A"/>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258"/>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C8D"/>
    <w:rsid w:val="00BF3DD1"/>
    <w:rsid w:val="00BF459B"/>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7D1"/>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9F4"/>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8EB"/>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4762"/>
    <w:rsid w:val="00CB4B87"/>
    <w:rsid w:val="00CB5115"/>
    <w:rsid w:val="00CB5137"/>
    <w:rsid w:val="00CB5910"/>
    <w:rsid w:val="00CB67E4"/>
    <w:rsid w:val="00CB699F"/>
    <w:rsid w:val="00CB6DBC"/>
    <w:rsid w:val="00CB6EFB"/>
    <w:rsid w:val="00CB702A"/>
    <w:rsid w:val="00CB795D"/>
    <w:rsid w:val="00CB7D59"/>
    <w:rsid w:val="00CC070E"/>
    <w:rsid w:val="00CC0AB7"/>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6A6"/>
    <w:rsid w:val="00CD1A6C"/>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6D1"/>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145"/>
    <w:rsid w:val="00D01453"/>
    <w:rsid w:val="00D017E5"/>
    <w:rsid w:val="00D02451"/>
    <w:rsid w:val="00D026AA"/>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09"/>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EC2"/>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822"/>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E12"/>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AD7"/>
    <w:rsid w:val="00D87B34"/>
    <w:rsid w:val="00D90873"/>
    <w:rsid w:val="00D911BE"/>
    <w:rsid w:val="00D9166E"/>
    <w:rsid w:val="00D92092"/>
    <w:rsid w:val="00D920F5"/>
    <w:rsid w:val="00D928B1"/>
    <w:rsid w:val="00D9296E"/>
    <w:rsid w:val="00D92D83"/>
    <w:rsid w:val="00D93077"/>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5F88"/>
    <w:rsid w:val="00D968F1"/>
    <w:rsid w:val="00D96E58"/>
    <w:rsid w:val="00D9745F"/>
    <w:rsid w:val="00D97889"/>
    <w:rsid w:val="00D97F70"/>
    <w:rsid w:val="00DA0608"/>
    <w:rsid w:val="00DA0FE4"/>
    <w:rsid w:val="00DA14E3"/>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85"/>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851"/>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0E84"/>
    <w:rsid w:val="00DF189A"/>
    <w:rsid w:val="00DF2032"/>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460"/>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2F9"/>
    <w:rsid w:val="00E24306"/>
    <w:rsid w:val="00E244D1"/>
    <w:rsid w:val="00E248F5"/>
    <w:rsid w:val="00E24916"/>
    <w:rsid w:val="00E255DF"/>
    <w:rsid w:val="00E25A5D"/>
    <w:rsid w:val="00E25F88"/>
    <w:rsid w:val="00E26430"/>
    <w:rsid w:val="00E26960"/>
    <w:rsid w:val="00E26E46"/>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091"/>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A9E"/>
    <w:rsid w:val="00E57BC5"/>
    <w:rsid w:val="00E6017B"/>
    <w:rsid w:val="00E6029C"/>
    <w:rsid w:val="00E610B0"/>
    <w:rsid w:val="00E61879"/>
    <w:rsid w:val="00E61CD6"/>
    <w:rsid w:val="00E61D84"/>
    <w:rsid w:val="00E62077"/>
    <w:rsid w:val="00E62DA6"/>
    <w:rsid w:val="00E63065"/>
    <w:rsid w:val="00E631E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DFA"/>
    <w:rsid w:val="00E90E4D"/>
    <w:rsid w:val="00E91D3C"/>
    <w:rsid w:val="00E92326"/>
    <w:rsid w:val="00E925D1"/>
    <w:rsid w:val="00E92618"/>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21E"/>
    <w:rsid w:val="00E96C8B"/>
    <w:rsid w:val="00E96E1B"/>
    <w:rsid w:val="00E9744E"/>
    <w:rsid w:val="00E975EC"/>
    <w:rsid w:val="00E97E73"/>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3217"/>
    <w:rsid w:val="00EB3521"/>
    <w:rsid w:val="00EB3663"/>
    <w:rsid w:val="00EB375D"/>
    <w:rsid w:val="00EB37A2"/>
    <w:rsid w:val="00EB3835"/>
    <w:rsid w:val="00EB39A6"/>
    <w:rsid w:val="00EB3A7A"/>
    <w:rsid w:val="00EB3DEC"/>
    <w:rsid w:val="00EB43A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902"/>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52C"/>
    <w:rsid w:val="00ED5CC0"/>
    <w:rsid w:val="00ED7466"/>
    <w:rsid w:val="00ED7629"/>
    <w:rsid w:val="00ED7AC1"/>
    <w:rsid w:val="00EE0333"/>
    <w:rsid w:val="00EE08C0"/>
    <w:rsid w:val="00EE08F1"/>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7BF"/>
    <w:rsid w:val="00EE5892"/>
    <w:rsid w:val="00EE6278"/>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A46"/>
    <w:rsid w:val="00EF5B6A"/>
    <w:rsid w:val="00EF5EBE"/>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3FED"/>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263A"/>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B4E"/>
    <w:rsid w:val="00F273C6"/>
    <w:rsid w:val="00F2764A"/>
    <w:rsid w:val="00F27913"/>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AB2"/>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80A"/>
    <w:rsid w:val="00F43CCB"/>
    <w:rsid w:val="00F441D6"/>
    <w:rsid w:val="00F446F7"/>
    <w:rsid w:val="00F44881"/>
    <w:rsid w:val="00F44D57"/>
    <w:rsid w:val="00F45384"/>
    <w:rsid w:val="00F45B6A"/>
    <w:rsid w:val="00F45F39"/>
    <w:rsid w:val="00F46DEE"/>
    <w:rsid w:val="00F46DF4"/>
    <w:rsid w:val="00F4722A"/>
    <w:rsid w:val="00F472FA"/>
    <w:rsid w:val="00F476EB"/>
    <w:rsid w:val="00F477C8"/>
    <w:rsid w:val="00F47EA2"/>
    <w:rsid w:val="00F47F4E"/>
    <w:rsid w:val="00F50413"/>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2FDB"/>
    <w:rsid w:val="00F634A2"/>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24F"/>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038"/>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70D0"/>
    <w:rsid w:val="00F87152"/>
    <w:rsid w:val="00F87227"/>
    <w:rsid w:val="00F87874"/>
    <w:rsid w:val="00F9033D"/>
    <w:rsid w:val="00F90DFC"/>
    <w:rsid w:val="00F9129C"/>
    <w:rsid w:val="00F919AA"/>
    <w:rsid w:val="00F91C06"/>
    <w:rsid w:val="00F921D6"/>
    <w:rsid w:val="00F9291D"/>
    <w:rsid w:val="00F92981"/>
    <w:rsid w:val="00F931FC"/>
    <w:rsid w:val="00F9358D"/>
    <w:rsid w:val="00F94286"/>
    <w:rsid w:val="00F94662"/>
    <w:rsid w:val="00F947CA"/>
    <w:rsid w:val="00F95271"/>
    <w:rsid w:val="00F95382"/>
    <w:rsid w:val="00F9568D"/>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2B8"/>
    <w:rsid w:val="00FA537E"/>
    <w:rsid w:val="00FA5653"/>
    <w:rsid w:val="00FA56C4"/>
    <w:rsid w:val="00FA5868"/>
    <w:rsid w:val="00FA588B"/>
    <w:rsid w:val="00FA632A"/>
    <w:rsid w:val="00FA6A22"/>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E30"/>
    <w:rsid w:val="00FB6EA1"/>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0F31"/>
    <w:rsid w:val="00FF12D7"/>
    <w:rsid w:val="00FF2228"/>
    <w:rsid w:val="00FF226E"/>
    <w:rsid w:val="00FF24B2"/>
    <w:rsid w:val="00FF284F"/>
    <w:rsid w:val="00FF2BA3"/>
    <w:rsid w:val="00FF2D7A"/>
    <w:rsid w:val="00FF2F10"/>
    <w:rsid w:val="00FF3AEA"/>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08D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F0E84"/>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71A7B"/>
    <w:pPr>
      <w:spacing w:before="100" w:beforeAutospacing="1" w:afterLines="100" w:after="10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style>
  <w:style w:type="paragraph" w:styleId="5">
    <w:name w:val="heading 5"/>
    <w:aliases w:val="h5,Heading5"/>
    <w:basedOn w:val="4"/>
    <w:next w:val="a1"/>
    <w:qFormat/>
    <w:rsid w:val="00876A06"/>
    <w:pPr>
      <w:outlineLvl w:val="4"/>
    </w:pPr>
    <w:rPr>
      <w:sz w:val="22"/>
    </w:rPr>
  </w:style>
  <w:style w:type="paragraph" w:styleId="6">
    <w:name w:val="heading 6"/>
    <w:basedOn w:val="H6"/>
    <w:next w:val="a1"/>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F0E8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0E8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71A7B"/>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1136803">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2339386">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8839968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40702503">
      <w:bodyDiv w:val="1"/>
      <w:marLeft w:val="0"/>
      <w:marRight w:val="0"/>
      <w:marTop w:val="0"/>
      <w:marBottom w:val="0"/>
      <w:divBdr>
        <w:top w:val="none" w:sz="0" w:space="0" w:color="auto"/>
        <w:left w:val="none" w:sz="0" w:space="0" w:color="auto"/>
        <w:bottom w:val="none" w:sz="0" w:space="0" w:color="auto"/>
        <w:right w:val="none" w:sz="0" w:space="0" w:color="auto"/>
      </w:divBdr>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545391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468229">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2.xml><?xml version="1.0" encoding="utf-8"?>
<ds:datastoreItem xmlns:ds="http://schemas.openxmlformats.org/officeDocument/2006/customXml" ds:itemID="{C791E1FA-F910-4B5A-B77D-1E539FB3A360}">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4.xml><?xml version="1.0" encoding="utf-8"?>
<ds:datastoreItem xmlns:ds="http://schemas.openxmlformats.org/officeDocument/2006/customXml" ds:itemID="{1FA8A000-73E0-4965-9AC4-F99E706F9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1509</Words>
  <Characters>8603</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2024-09-30T09:22:00Z</dcterms:created>
  <dcterms:modified xsi:type="dcterms:W3CDTF">2024-11-07T03:09:00Z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